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FB" w:rsidRDefault="00CF1FFB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 xml:space="preserve"> PROMOTORIA DE JUSTIÇA DE </w:t>
      </w:r>
      <w:r w:rsidR="00C273C4">
        <w:rPr>
          <w:b/>
          <w:bCs/>
          <w:sz w:val="28"/>
          <w:u w:val="single"/>
        </w:rPr>
        <w:t>QUATÁ</w:t>
      </w:r>
    </w:p>
    <w:p w:rsidR="00CF1FFB" w:rsidRDefault="00CF1FFB">
      <w:pPr>
        <w:jc w:val="center"/>
        <w:rPr>
          <w:b/>
          <w:bCs/>
          <w:sz w:val="28"/>
          <w:u w:val="single"/>
        </w:rPr>
      </w:pPr>
    </w:p>
    <w:p w:rsidR="00CF1FFB" w:rsidRDefault="00CF1FFB">
      <w:pPr>
        <w:jc w:val="center"/>
        <w:rPr>
          <w:b/>
          <w:bCs/>
          <w:sz w:val="28"/>
          <w:u w:val="single"/>
        </w:rPr>
      </w:pPr>
    </w:p>
    <w:p w:rsidR="00CF1FFB" w:rsidRDefault="00C1635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INQUÉRITO CIVIL Nº 04/09</w:t>
      </w:r>
    </w:p>
    <w:p w:rsidR="00CF1FFB" w:rsidRDefault="00CF1FFB">
      <w:pPr>
        <w:jc w:val="center"/>
        <w:rPr>
          <w:b/>
          <w:bCs/>
          <w:sz w:val="28"/>
          <w:u w:val="single"/>
        </w:rPr>
      </w:pPr>
    </w:p>
    <w:p w:rsidR="00CF1FFB" w:rsidRDefault="00CF1FFB">
      <w:pPr>
        <w:jc w:val="center"/>
        <w:rPr>
          <w:b/>
          <w:bCs/>
          <w:sz w:val="28"/>
          <w:u w:val="single"/>
        </w:rPr>
      </w:pPr>
    </w:p>
    <w:p w:rsidR="00CF1FFB" w:rsidRDefault="00CF1FFB">
      <w:pPr>
        <w:jc w:val="center"/>
        <w:rPr>
          <w:b/>
          <w:bCs/>
          <w:sz w:val="28"/>
          <w:u w:val="single"/>
        </w:rPr>
      </w:pPr>
    </w:p>
    <w:p w:rsidR="00CF1FFB" w:rsidRDefault="00CF1FFB">
      <w:pPr>
        <w:pStyle w:val="Heading1"/>
      </w:pPr>
      <w:r>
        <w:t>PORTARIA</w:t>
      </w:r>
      <w:r w:rsidR="00C1635F">
        <w:t xml:space="preserve"> nº 04/09</w:t>
      </w:r>
    </w:p>
    <w:p w:rsidR="00CF1FFB" w:rsidRDefault="00CF1FFB">
      <w:pPr>
        <w:jc w:val="center"/>
        <w:rPr>
          <w:b/>
          <w:bCs/>
          <w:sz w:val="28"/>
          <w:u w:val="single"/>
        </w:rPr>
      </w:pPr>
    </w:p>
    <w:p w:rsidR="00CF1FFB" w:rsidRDefault="00CF1FFB"/>
    <w:p w:rsidR="00CF1FFB" w:rsidRDefault="00CF1FFB">
      <w:pPr>
        <w:tabs>
          <w:tab w:val="left" w:pos="3261"/>
        </w:tabs>
        <w:spacing w:line="360" w:lineRule="auto"/>
        <w:jc w:val="both"/>
      </w:pPr>
      <w:r>
        <w:tab/>
        <w:t xml:space="preserve">O </w:t>
      </w:r>
      <w:r>
        <w:rPr>
          <w:b/>
          <w:bCs/>
        </w:rPr>
        <w:t>MINISTÉRIO PÚBLICO DO ESTADO DE SÃO PAULO</w:t>
      </w:r>
      <w:r>
        <w:t xml:space="preserve">, por intermédio de </w:t>
      </w:r>
      <w:r w:rsidR="00C273C4">
        <w:t>seu</w:t>
      </w:r>
      <w:r>
        <w:t xml:space="preserve"> Promotor de Justiça infra-assinad</w:t>
      </w:r>
      <w:r w:rsidR="00C273C4">
        <w:t>o</w:t>
      </w:r>
      <w:r>
        <w:t xml:space="preserve">, em exercício, em defesa do Meio Ambiente, face o disposto nos artigos 127 e 129, inciso III, da Constituição Federal; artigo 97, § único, da Constituição Estadual; artigo 26, inciso I, da Lei Complementar Federal nº 8.625/93; artigo 104, inciso I, da Lei 734/93 – LOEMP  e pelo  artigo 8º, § 1º da Lei nº 7.347/85, instaura o presente </w:t>
      </w:r>
    </w:p>
    <w:p w:rsidR="00CF1FFB" w:rsidRPr="00C273C4" w:rsidRDefault="00CF1FFB">
      <w:pPr>
        <w:pStyle w:val="BodyText"/>
        <w:jc w:val="both"/>
        <w:rPr>
          <w:lang w:val="pt-BR"/>
        </w:rPr>
      </w:pPr>
    </w:p>
    <w:p w:rsidR="00CF1FFB" w:rsidRDefault="00CF1FFB">
      <w:pPr>
        <w:pStyle w:val="Heading2"/>
        <w:tabs>
          <w:tab w:val="left" w:pos="3261"/>
        </w:tabs>
      </w:pPr>
      <w:r>
        <w:rPr>
          <w:u w:val="none"/>
        </w:rPr>
        <w:t xml:space="preserve">         </w:t>
      </w:r>
      <w:r>
        <w:t>INQUÉRITO CIVIL</w:t>
      </w:r>
    </w:p>
    <w:p w:rsidR="00CF1FFB" w:rsidRDefault="00CF1FFB"/>
    <w:p w:rsidR="00CF1FFB" w:rsidRDefault="00CF1FFB"/>
    <w:p w:rsidR="00CF1FFB" w:rsidRDefault="00CF1FFB">
      <w:pPr>
        <w:tabs>
          <w:tab w:val="left" w:pos="3261"/>
        </w:tabs>
        <w:spacing w:line="360" w:lineRule="auto"/>
        <w:jc w:val="both"/>
      </w:pPr>
      <w:r>
        <w:tab/>
      </w:r>
      <w:r>
        <w:rPr>
          <w:b/>
          <w:bCs/>
        </w:rPr>
        <w:t xml:space="preserve">Considerando </w:t>
      </w:r>
      <w:r>
        <w:t xml:space="preserve">que chegou ao conhecimento desta promotoria através do </w:t>
      </w:r>
      <w:r w:rsidR="00C1635F">
        <w:rPr>
          <w:b/>
          <w:bCs/>
          <w:i/>
          <w:iCs/>
          <w:u w:val="single"/>
        </w:rPr>
        <w:t>PROTOCOLADO</w:t>
      </w:r>
      <w:r>
        <w:rPr>
          <w:b/>
          <w:bCs/>
          <w:i/>
          <w:iCs/>
          <w:u w:val="single"/>
        </w:rPr>
        <w:t xml:space="preserve"> nº </w:t>
      </w:r>
      <w:r w:rsidR="00C1635F">
        <w:rPr>
          <w:b/>
          <w:bCs/>
          <w:i/>
          <w:iCs/>
          <w:u w:val="single"/>
        </w:rPr>
        <w:t>109.426/09</w:t>
      </w:r>
      <w:r w:rsidR="00C273C4">
        <w:rPr>
          <w:b/>
          <w:bCs/>
          <w:i/>
          <w:iCs/>
          <w:u w:val="single"/>
        </w:rPr>
        <w:t>,</w:t>
      </w:r>
      <w:r>
        <w:t xml:space="preserve"> notícias de dano ao meio ambiente n</w:t>
      </w:r>
      <w:r w:rsidR="00C273C4">
        <w:t xml:space="preserve">o balneário de </w:t>
      </w:r>
      <w:proofErr w:type="spellStart"/>
      <w:r w:rsidR="00C273C4">
        <w:t>Quatá</w:t>
      </w:r>
      <w:proofErr w:type="spellEnd"/>
      <w:r w:rsidR="00C1635F">
        <w:t>, considerado área de preservação permanente</w:t>
      </w:r>
      <w:r>
        <w:t>.</w:t>
      </w:r>
    </w:p>
    <w:p w:rsidR="00CF1FFB" w:rsidRDefault="00CF1FFB">
      <w:pPr>
        <w:spacing w:line="360" w:lineRule="auto"/>
        <w:jc w:val="both"/>
      </w:pPr>
    </w:p>
    <w:p w:rsidR="00CF1FFB" w:rsidRDefault="00CF1FFB">
      <w:pPr>
        <w:tabs>
          <w:tab w:val="left" w:pos="3261"/>
        </w:tabs>
        <w:spacing w:line="360" w:lineRule="auto"/>
        <w:jc w:val="both"/>
        <w:rPr>
          <w:b/>
          <w:bCs/>
          <w:i/>
          <w:iCs/>
        </w:rPr>
      </w:pPr>
      <w:r>
        <w:tab/>
      </w:r>
      <w:r>
        <w:rPr>
          <w:b/>
          <w:bCs/>
        </w:rPr>
        <w:t>Considerando</w:t>
      </w:r>
      <w:r>
        <w:t xml:space="preserve"> que a</w:t>
      </w:r>
      <w:r w:rsidR="00C273C4">
        <w:t>s</w:t>
      </w:r>
      <w:r>
        <w:t xml:space="preserve"> irregularidade</w:t>
      </w:r>
      <w:r w:rsidR="00C273C4">
        <w:t>s</w:t>
      </w:r>
      <w:r>
        <w:t xml:space="preserve"> </w:t>
      </w:r>
      <w:r w:rsidR="00C273C4">
        <w:t xml:space="preserve">noticiam:1) a </w:t>
      </w:r>
      <w:r w:rsidR="00C273C4" w:rsidRPr="000168FF">
        <w:rPr>
          <w:b/>
          <w:i/>
          <w:u w:val="single"/>
        </w:rPr>
        <w:t xml:space="preserve">inexistência de captação de esgoto das edificações que margeiam o balneário (represa) e conseqüente existência de </w:t>
      </w:r>
      <w:r w:rsidR="00C1635F">
        <w:rPr>
          <w:b/>
          <w:i/>
          <w:u w:val="single"/>
        </w:rPr>
        <w:t>câmaras</w:t>
      </w:r>
      <w:r w:rsidR="00C273C4" w:rsidRPr="000168FF">
        <w:rPr>
          <w:b/>
          <w:i/>
          <w:u w:val="single"/>
        </w:rPr>
        <w:t xml:space="preserve"> artesanais negras</w:t>
      </w:r>
      <w:r w:rsidR="00C1635F">
        <w:rPr>
          <w:b/>
          <w:i/>
          <w:u w:val="single"/>
        </w:rPr>
        <w:t xml:space="preserve"> de contenção de esgoto domiciliar (fossas negras)</w:t>
      </w:r>
      <w:r w:rsidR="00C273C4" w:rsidRPr="000168FF">
        <w:rPr>
          <w:b/>
          <w:i/>
          <w:u w:val="single"/>
        </w:rPr>
        <w:t xml:space="preserve">, as quais despejam dejetos tóxicos junto ao manancial, Balneário de </w:t>
      </w:r>
      <w:proofErr w:type="spellStart"/>
      <w:r w:rsidR="00C273C4" w:rsidRPr="000168FF">
        <w:rPr>
          <w:b/>
          <w:i/>
          <w:u w:val="single"/>
        </w:rPr>
        <w:t>Quatá</w:t>
      </w:r>
      <w:proofErr w:type="spellEnd"/>
      <w:r w:rsidR="000168FF" w:rsidRPr="000168FF">
        <w:rPr>
          <w:b/>
          <w:i/>
          <w:u w:val="single"/>
        </w:rPr>
        <w:t>,</w:t>
      </w:r>
      <w:r w:rsidR="00C273C4" w:rsidRPr="000168FF">
        <w:rPr>
          <w:b/>
          <w:i/>
          <w:u w:val="single"/>
        </w:rPr>
        <w:t xml:space="preserve"> sem qualquer tratamento</w:t>
      </w:r>
      <w:r w:rsidR="000168FF" w:rsidRPr="000168FF">
        <w:rPr>
          <w:b/>
          <w:i/>
          <w:u w:val="single"/>
        </w:rPr>
        <w:t>,</w:t>
      </w:r>
      <w:r w:rsidR="00C273C4" w:rsidRPr="000168FF">
        <w:rPr>
          <w:b/>
          <w:i/>
          <w:u w:val="single"/>
        </w:rPr>
        <w:t xml:space="preserve"> ocasionando a contaminação do balneário que é de uso comum do povo;</w:t>
      </w:r>
      <w:r w:rsidR="000168FF">
        <w:rPr>
          <w:b/>
          <w:i/>
          <w:u w:val="single"/>
        </w:rPr>
        <w:t xml:space="preserve"> 2)</w:t>
      </w:r>
      <w:r w:rsidR="00C273C4" w:rsidRPr="000168FF">
        <w:rPr>
          <w:b/>
          <w:i/>
          <w:u w:val="single"/>
        </w:rPr>
        <w:t xml:space="preserve"> a existência de loteamento irregular margeando a represa</w:t>
      </w:r>
      <w:r w:rsidR="000168FF">
        <w:rPr>
          <w:b/>
          <w:i/>
          <w:u w:val="single"/>
        </w:rPr>
        <w:t>; 3</w:t>
      </w:r>
      <w:r w:rsidR="00C273C4" w:rsidRPr="000168FF">
        <w:rPr>
          <w:b/>
          <w:i/>
          <w:u w:val="single"/>
        </w:rPr>
        <w:t xml:space="preserve"> existência de construção de estaleiros diretamente no leito da lagoa/represa existente no Balneário de </w:t>
      </w:r>
      <w:proofErr w:type="spellStart"/>
      <w:r w:rsidR="00C273C4" w:rsidRPr="000168FF">
        <w:rPr>
          <w:b/>
          <w:i/>
          <w:u w:val="single"/>
        </w:rPr>
        <w:t>Quatá</w:t>
      </w:r>
      <w:proofErr w:type="spellEnd"/>
      <w:r w:rsidR="00C273C4" w:rsidRPr="000168FF">
        <w:rPr>
          <w:b/>
          <w:i/>
          <w:u w:val="single"/>
        </w:rPr>
        <w:t>, que é local de área de preservação permanente.</w:t>
      </w:r>
      <w:r>
        <w:rPr>
          <w:b/>
          <w:bCs/>
          <w:i/>
          <w:iCs/>
        </w:rPr>
        <w:t>.</w:t>
      </w:r>
    </w:p>
    <w:p w:rsidR="00CF1FFB" w:rsidRDefault="00CF1FFB">
      <w:pPr>
        <w:tabs>
          <w:tab w:val="left" w:pos="3261"/>
        </w:tabs>
        <w:spacing w:line="360" w:lineRule="auto"/>
        <w:jc w:val="both"/>
        <w:rPr>
          <w:b/>
          <w:bCs/>
          <w:i/>
          <w:iCs/>
        </w:rPr>
      </w:pPr>
    </w:p>
    <w:p w:rsidR="00CF1FFB" w:rsidRDefault="00CF1FFB">
      <w:pPr>
        <w:tabs>
          <w:tab w:val="left" w:pos="3261"/>
        </w:tabs>
        <w:spacing w:line="360" w:lineRule="auto"/>
        <w:jc w:val="both"/>
      </w:pPr>
      <w:r>
        <w:rPr>
          <w:b/>
          <w:bCs/>
        </w:rPr>
        <w:tab/>
        <w:t>Considerando</w:t>
      </w:r>
      <w:r>
        <w:t xml:space="preserve"> que há evidente lesão ao direito constitucional ao meio ambiente ecologicamente equilibrado (art. 225, C.F.), com prejuízo à qualidade ambiental e ao ecossistema;</w:t>
      </w:r>
    </w:p>
    <w:p w:rsidR="00CF1FFB" w:rsidRDefault="00CF1FFB">
      <w:pPr>
        <w:tabs>
          <w:tab w:val="left" w:pos="3261"/>
        </w:tabs>
        <w:spacing w:line="360" w:lineRule="auto"/>
        <w:jc w:val="both"/>
      </w:pPr>
    </w:p>
    <w:p w:rsidR="00CF1FFB" w:rsidRDefault="00CF1FFB">
      <w:pPr>
        <w:tabs>
          <w:tab w:val="left" w:pos="3261"/>
        </w:tabs>
        <w:spacing w:line="360" w:lineRule="auto"/>
        <w:jc w:val="both"/>
      </w:pPr>
      <w:r>
        <w:tab/>
      </w:r>
      <w:r>
        <w:rPr>
          <w:b/>
          <w:bCs/>
        </w:rPr>
        <w:t>Considerando</w:t>
      </w:r>
      <w:r>
        <w:t xml:space="preserve"> que consoante os dispositivos do artigo 127 e 129, inciso III, da Constituição Federal e artigo 103, inciso VIII, da Lei nº 734/93 é função institucional</w:t>
      </w:r>
      <w:r>
        <w:rPr>
          <w:b/>
          <w:bCs/>
        </w:rPr>
        <w:t xml:space="preserve"> </w:t>
      </w:r>
      <w:r>
        <w:t>do Ministério Público a defesa do meio ambiente;</w:t>
      </w:r>
    </w:p>
    <w:p w:rsidR="00CF1FFB" w:rsidRDefault="00CF1FFB">
      <w:pPr>
        <w:tabs>
          <w:tab w:val="left" w:pos="3261"/>
        </w:tabs>
        <w:spacing w:line="360" w:lineRule="auto"/>
        <w:jc w:val="both"/>
        <w:rPr>
          <w:b/>
          <w:bCs/>
        </w:rPr>
      </w:pPr>
    </w:p>
    <w:p w:rsidR="00CF1FFB" w:rsidRDefault="00CF1FFB">
      <w:pPr>
        <w:tabs>
          <w:tab w:val="left" w:pos="3261"/>
        </w:tabs>
        <w:spacing w:line="360" w:lineRule="auto"/>
        <w:jc w:val="both"/>
      </w:pPr>
      <w:r>
        <w:rPr>
          <w:b/>
          <w:bCs/>
        </w:rPr>
        <w:tab/>
        <w:t xml:space="preserve">Considerando </w:t>
      </w:r>
      <w:r>
        <w:t>que o artigo 14, § 1º, da Lei nº 6.938/81, cria para o degradador a obrigação de reparar os danos ao meio ambiente, independentemente de existência de culpa;</w:t>
      </w:r>
    </w:p>
    <w:p w:rsidR="00CF1FFB" w:rsidRDefault="00CF1FFB">
      <w:pPr>
        <w:tabs>
          <w:tab w:val="left" w:pos="3261"/>
        </w:tabs>
        <w:spacing w:line="360" w:lineRule="auto"/>
        <w:jc w:val="both"/>
      </w:pPr>
    </w:p>
    <w:p w:rsidR="00CF1FFB" w:rsidRDefault="00CF1FFB">
      <w:pPr>
        <w:tabs>
          <w:tab w:val="left" w:pos="3261"/>
        </w:tabs>
        <w:spacing w:line="360" w:lineRule="auto"/>
        <w:jc w:val="both"/>
      </w:pPr>
      <w:r>
        <w:rPr>
          <w:b/>
          <w:bCs/>
        </w:rPr>
        <w:tab/>
        <w:t>Considerando</w:t>
      </w:r>
      <w:r>
        <w:t xml:space="preserve"> que as peças de informação não trazem elementos que demonstrem, desde logo, a intensidade dos danos causados ao meio ambiente, e que, portanto, faz-se necessário esclarecimentos complementares;</w:t>
      </w:r>
    </w:p>
    <w:p w:rsidR="00CF1FFB" w:rsidRDefault="00CF1FFB">
      <w:pPr>
        <w:tabs>
          <w:tab w:val="left" w:pos="3261"/>
        </w:tabs>
        <w:spacing w:line="360" w:lineRule="auto"/>
        <w:jc w:val="both"/>
        <w:rPr>
          <w:b/>
          <w:bCs/>
        </w:rPr>
      </w:pPr>
    </w:p>
    <w:p w:rsidR="00CF1FFB" w:rsidRDefault="00CF1FFB">
      <w:pPr>
        <w:tabs>
          <w:tab w:val="left" w:pos="3261"/>
        </w:tabs>
        <w:spacing w:line="360" w:lineRule="auto"/>
        <w:jc w:val="both"/>
      </w:pPr>
      <w:r>
        <w:tab/>
      </w:r>
      <w:r>
        <w:rPr>
          <w:b/>
          <w:bCs/>
        </w:rPr>
        <w:t>Considerando</w:t>
      </w:r>
      <w:r>
        <w:t xml:space="preserve"> que o inquérito civil, instituído pela Lei nº 7.347/85, é o meio procedimental adequado para a coleta de elementos probatórios destinados a instruir eventual ação civil pública para a reparação dos atos lesivos ao meio ambiente;</w:t>
      </w:r>
    </w:p>
    <w:p w:rsidR="00CF1FFB" w:rsidRDefault="00CF1FFB">
      <w:pPr>
        <w:tabs>
          <w:tab w:val="left" w:pos="3261"/>
        </w:tabs>
        <w:spacing w:line="360" w:lineRule="auto"/>
        <w:jc w:val="both"/>
      </w:pPr>
    </w:p>
    <w:p w:rsidR="00CF1FFB" w:rsidRDefault="00CF1FFB">
      <w:pPr>
        <w:tabs>
          <w:tab w:val="left" w:pos="3261"/>
        </w:tabs>
        <w:spacing w:line="360" w:lineRule="auto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Resolve</w:t>
      </w:r>
      <w:r>
        <w:rPr>
          <w:b/>
          <w:bCs/>
        </w:rPr>
        <w:t>:</w:t>
      </w:r>
    </w:p>
    <w:p w:rsidR="00CF1FFB" w:rsidRDefault="00CF1FFB">
      <w:pPr>
        <w:tabs>
          <w:tab w:val="left" w:pos="3261"/>
        </w:tabs>
        <w:spacing w:line="360" w:lineRule="auto"/>
        <w:jc w:val="both"/>
      </w:pPr>
    </w:p>
    <w:p w:rsidR="00CF1FFB" w:rsidRDefault="00CF1FFB">
      <w:pPr>
        <w:tabs>
          <w:tab w:val="left" w:pos="3261"/>
        </w:tabs>
        <w:spacing w:line="360" w:lineRule="auto"/>
        <w:jc w:val="both"/>
      </w:pPr>
      <w:r>
        <w:tab/>
        <w:t xml:space="preserve">Instaurar o presente </w:t>
      </w:r>
      <w:r>
        <w:rPr>
          <w:b/>
          <w:bCs/>
          <w:i/>
          <w:iCs/>
        </w:rPr>
        <w:t>INQUÉRITO CIVIL</w:t>
      </w:r>
      <w:r>
        <w:t xml:space="preserve"> para apurar os fatos acima descritos, em todas as suas circunstâncias, determinando, desde logo, as seguintes providências a serem cumpridas pela Secretaria da Promotoria:</w:t>
      </w:r>
    </w:p>
    <w:p w:rsidR="00CF1FFB" w:rsidRDefault="00CF1FFB">
      <w:pPr>
        <w:tabs>
          <w:tab w:val="left" w:pos="3261"/>
        </w:tabs>
        <w:spacing w:line="360" w:lineRule="auto"/>
        <w:jc w:val="both"/>
      </w:pPr>
    </w:p>
    <w:p w:rsidR="00C273C4" w:rsidRDefault="00CF1FFB">
      <w:pPr>
        <w:tabs>
          <w:tab w:val="left" w:pos="3261"/>
        </w:tabs>
        <w:spacing w:line="360" w:lineRule="auto"/>
        <w:jc w:val="both"/>
      </w:pPr>
      <w:r>
        <w:tab/>
        <w:t xml:space="preserve">1-) Oficie-se ao </w:t>
      </w:r>
      <w:r w:rsidR="00C273C4">
        <w:t xml:space="preserve">à prefeitura municipal de </w:t>
      </w:r>
      <w:proofErr w:type="spellStart"/>
      <w:r w:rsidR="00C273C4">
        <w:t>Quatá</w:t>
      </w:r>
      <w:proofErr w:type="spellEnd"/>
      <w:r w:rsidR="00C273C4">
        <w:t>, com cópia desta portaria e das peças de informações constantes, solicitando:</w:t>
      </w:r>
    </w:p>
    <w:p w:rsidR="00CF1FFB" w:rsidRDefault="00C273C4">
      <w:pPr>
        <w:tabs>
          <w:tab w:val="left" w:pos="3261"/>
        </w:tabs>
        <w:spacing w:line="360" w:lineRule="auto"/>
        <w:jc w:val="both"/>
      </w:pPr>
      <w:r>
        <w:t xml:space="preserve"> </w:t>
      </w:r>
      <w:r>
        <w:tab/>
        <w:t xml:space="preserve">a) relação de proprietários ribeirinhos ao balneário de </w:t>
      </w:r>
      <w:proofErr w:type="spellStart"/>
      <w:r>
        <w:t>Quatá</w:t>
      </w:r>
      <w:proofErr w:type="spellEnd"/>
      <w:r>
        <w:t xml:space="preserve">, isto é, que detenham imóveis edificados no contorno da represa localizada no Balneário de </w:t>
      </w:r>
      <w:proofErr w:type="spellStart"/>
      <w:r>
        <w:t>Quatá</w:t>
      </w:r>
      <w:proofErr w:type="spellEnd"/>
      <w:r w:rsidR="00CF1FFB">
        <w:t>;</w:t>
      </w:r>
    </w:p>
    <w:p w:rsidR="00C273C4" w:rsidRDefault="00C273C4">
      <w:pPr>
        <w:tabs>
          <w:tab w:val="left" w:pos="3261"/>
        </w:tabs>
        <w:spacing w:line="360" w:lineRule="auto"/>
        <w:jc w:val="both"/>
      </w:pPr>
      <w:r>
        <w:t xml:space="preserve"> </w:t>
      </w:r>
      <w:r>
        <w:tab/>
        <w:t xml:space="preserve">b) Cópia da Matricula referente à propriedade na qual originou-se o “condomínio” de edificações no Balneário de </w:t>
      </w:r>
      <w:proofErr w:type="spellStart"/>
      <w:r>
        <w:t>Quatá</w:t>
      </w:r>
      <w:proofErr w:type="spellEnd"/>
      <w:r>
        <w:t>, informando desde quando este condomínio está instalado na área e se est</w:t>
      </w:r>
      <w:r w:rsidR="005C3819">
        <w:t>ão sendo tomadas pr</w:t>
      </w:r>
      <w:r>
        <w:t>ovidências no sentido de regularização do condomínio</w:t>
      </w:r>
      <w:r w:rsidR="005C3819">
        <w:t xml:space="preserve"> (loteamento)</w:t>
      </w:r>
      <w:r>
        <w:t>.</w:t>
      </w:r>
    </w:p>
    <w:p w:rsidR="005C3819" w:rsidRDefault="00C273C4">
      <w:pPr>
        <w:tabs>
          <w:tab w:val="left" w:pos="3261"/>
        </w:tabs>
        <w:spacing w:line="360" w:lineRule="auto"/>
        <w:jc w:val="both"/>
      </w:pPr>
      <w:r>
        <w:t xml:space="preserve"> </w:t>
      </w:r>
      <w:r>
        <w:tab/>
        <w:t xml:space="preserve">c) realizar inspeção através da vigilância sanitária e secretaria municipal do meio ambiente, para catalogar e identificar </w:t>
      </w:r>
      <w:r w:rsidR="005C3819">
        <w:t>todas as residências do contorno da represa que possuem</w:t>
      </w:r>
      <w:r w:rsidR="00C1635F">
        <w:t xml:space="preserve"> câmaras de contenção de esgoto</w:t>
      </w:r>
      <w:r w:rsidR="005C3819">
        <w:t>, isto é, fo</w:t>
      </w:r>
      <w:r w:rsidR="00C1635F">
        <w:t>ssas</w:t>
      </w:r>
      <w:r w:rsidR="005C3819">
        <w:t xml:space="preserve"> artesanais que podem contaminar o lençol freático e a água da represa (fotos ilustrativas);</w:t>
      </w:r>
    </w:p>
    <w:p w:rsidR="005C3819" w:rsidRDefault="005C3819">
      <w:pPr>
        <w:tabs>
          <w:tab w:val="left" w:pos="3261"/>
        </w:tabs>
        <w:spacing w:line="360" w:lineRule="auto"/>
        <w:jc w:val="both"/>
      </w:pPr>
      <w:r>
        <w:t xml:space="preserve"> </w:t>
      </w:r>
      <w:r>
        <w:tab/>
        <w:t xml:space="preserve">d) identificar as nascentes que alimentam o volume </w:t>
      </w:r>
      <w:proofErr w:type="spellStart"/>
      <w:r>
        <w:t>d´água</w:t>
      </w:r>
      <w:proofErr w:type="spellEnd"/>
      <w:r>
        <w:t xml:space="preserve">  da represa existente no balneário  de </w:t>
      </w:r>
      <w:proofErr w:type="spellStart"/>
      <w:r>
        <w:t>Quatá</w:t>
      </w:r>
      <w:proofErr w:type="spellEnd"/>
      <w:r>
        <w:t>, informando o nome da propriedade, de seu proprietário, cópia da matricula e se estão desprotegidas de mata ciliar</w:t>
      </w:r>
      <w:r w:rsidR="00605F89">
        <w:t xml:space="preserve"> (ilustrar com fotos e localização </w:t>
      </w:r>
      <w:proofErr w:type="spellStart"/>
      <w:r w:rsidR="00605F89">
        <w:t>georeferencial</w:t>
      </w:r>
      <w:proofErr w:type="spellEnd"/>
      <w:r w:rsidR="00605F89">
        <w:t xml:space="preserve">, tudo para enviar ao DPRN a fim de dimensionar o dano em tais </w:t>
      </w:r>
      <w:proofErr w:type="spellStart"/>
      <w:r w:rsidR="00605F89">
        <w:t>APP`</w:t>
      </w:r>
      <w:proofErr w:type="spellEnd"/>
      <w:r w:rsidR="00605F89">
        <w:t>s.)</w:t>
      </w:r>
      <w:r w:rsidR="00C1635F">
        <w:t>; efetuar a medição da área de preservação permanente</w:t>
      </w:r>
      <w:r w:rsidR="00605F89">
        <w:t xml:space="preserve"> que existe no contorno da represa (</w:t>
      </w:r>
      <w:proofErr w:type="spellStart"/>
      <w:r w:rsidR="00605F89">
        <w:t>georeferenciar</w:t>
      </w:r>
      <w:proofErr w:type="spellEnd"/>
      <w:r w:rsidR="00605F89">
        <w:t xml:space="preserve"> e identificar as propriedades rurais coincidentes à mata ciliar, indicando nome da propriedade, do proprietário e endereço residencial do mesmo)</w:t>
      </w:r>
      <w:r>
        <w:t xml:space="preserve"> .</w:t>
      </w:r>
    </w:p>
    <w:p w:rsidR="00C273C4" w:rsidRDefault="005C3819">
      <w:pPr>
        <w:tabs>
          <w:tab w:val="left" w:pos="3261"/>
        </w:tabs>
        <w:spacing w:line="360" w:lineRule="auto"/>
        <w:jc w:val="both"/>
      </w:pPr>
      <w:r>
        <w:t xml:space="preserve"> </w:t>
      </w:r>
      <w:r>
        <w:tab/>
        <w:t xml:space="preserve"> </w:t>
      </w:r>
      <w:r w:rsidR="000168FF">
        <w:t xml:space="preserve">e) efetue comunicação geral  desta portaria, por meio de rádio comunitária da cidade, alertando os proprietários de lotes no balneário de </w:t>
      </w:r>
      <w:proofErr w:type="spellStart"/>
      <w:r w:rsidR="000168FF">
        <w:t>Quatá</w:t>
      </w:r>
      <w:proofErr w:type="spellEnd"/>
      <w:r w:rsidR="000168FF">
        <w:t>, da necessidade de implantação de fo</w:t>
      </w:r>
      <w:r w:rsidR="00C1635F">
        <w:t>ss</w:t>
      </w:r>
      <w:r w:rsidR="000168FF">
        <w:t>a ecológica dotada de sistema de decantação e da necessidade de retirada  dos estaleiros construídos na beira da represa, por ser o local considerado área de preservação permanente.</w:t>
      </w:r>
    </w:p>
    <w:p w:rsidR="00CF1FFB" w:rsidRDefault="00CF1FFB">
      <w:pPr>
        <w:tabs>
          <w:tab w:val="left" w:pos="3261"/>
        </w:tabs>
        <w:spacing w:line="360" w:lineRule="auto"/>
        <w:jc w:val="both"/>
      </w:pPr>
      <w:r>
        <w:tab/>
      </w:r>
      <w:r w:rsidR="000168FF">
        <w:t>2</w:t>
      </w:r>
      <w:r>
        <w:t>-) Após, venham-me conclusos.</w:t>
      </w:r>
    </w:p>
    <w:p w:rsidR="00CF1FFB" w:rsidRDefault="00605F89">
      <w:pPr>
        <w:tabs>
          <w:tab w:val="left" w:pos="3261"/>
        </w:tabs>
        <w:spacing w:line="360" w:lineRule="auto"/>
        <w:jc w:val="both"/>
      </w:pPr>
      <w:r>
        <w:t xml:space="preserve"> </w:t>
      </w:r>
      <w:r>
        <w:tab/>
      </w:r>
      <w:proofErr w:type="spellStart"/>
      <w:r w:rsidR="000168FF">
        <w:t>Quatá</w:t>
      </w:r>
      <w:proofErr w:type="spellEnd"/>
      <w:r w:rsidR="00CF1FFB">
        <w:t>,</w:t>
      </w:r>
      <w:r>
        <w:t>15 de outubro de 2009</w:t>
      </w:r>
    </w:p>
    <w:p w:rsidR="00CF1FFB" w:rsidRDefault="00CF1FFB">
      <w:pPr>
        <w:tabs>
          <w:tab w:val="left" w:pos="3261"/>
        </w:tabs>
        <w:spacing w:line="360" w:lineRule="auto"/>
        <w:jc w:val="both"/>
      </w:pPr>
    </w:p>
    <w:p w:rsidR="00CF1FFB" w:rsidRDefault="00CF1FFB">
      <w:pPr>
        <w:tabs>
          <w:tab w:val="left" w:pos="3261"/>
        </w:tabs>
        <w:spacing w:line="360" w:lineRule="auto"/>
        <w:jc w:val="both"/>
        <w:rPr>
          <w:b/>
          <w:bCs/>
        </w:rPr>
      </w:pPr>
      <w:r>
        <w:tab/>
      </w:r>
      <w:r w:rsidR="000168FF">
        <w:rPr>
          <w:b/>
          <w:bCs/>
        </w:rPr>
        <w:t xml:space="preserve">Moacir </w:t>
      </w:r>
      <w:proofErr w:type="spellStart"/>
      <w:r w:rsidR="000168FF">
        <w:rPr>
          <w:b/>
          <w:bCs/>
        </w:rPr>
        <w:t>Menicheli</w:t>
      </w:r>
      <w:proofErr w:type="spellEnd"/>
      <w:r w:rsidR="000168FF">
        <w:rPr>
          <w:b/>
          <w:bCs/>
        </w:rPr>
        <w:t xml:space="preserve"> Reis </w:t>
      </w:r>
    </w:p>
    <w:p w:rsidR="00CF1FFB" w:rsidRDefault="00CF1FFB">
      <w:pPr>
        <w:tabs>
          <w:tab w:val="left" w:pos="3261"/>
        </w:tabs>
        <w:spacing w:line="360" w:lineRule="auto"/>
        <w:jc w:val="both"/>
        <w:rPr>
          <w:lang w:val="pt-PT"/>
        </w:rPr>
      </w:pPr>
      <w:r>
        <w:tab/>
        <w:t xml:space="preserve">  </w:t>
      </w:r>
      <w:r>
        <w:rPr>
          <w:i/>
          <w:iCs/>
        </w:rPr>
        <w:t>Promotor de Justiça</w:t>
      </w:r>
    </w:p>
    <w:sectPr w:rsidR="00CF1FFB">
      <w:pgSz w:w="11901" w:h="16834" w:code="513"/>
      <w:pgMar w:top="3402" w:right="1134" w:bottom="851" w:left="2552" w:header="567" w:footer="567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FFB"/>
    <w:rsid w:val="000168FF"/>
    <w:rsid w:val="00070E65"/>
    <w:rsid w:val="00362563"/>
    <w:rsid w:val="005C3819"/>
    <w:rsid w:val="00605F89"/>
    <w:rsid w:val="007C6D7C"/>
    <w:rsid w:val="00C1635F"/>
    <w:rsid w:val="00C273C4"/>
    <w:rsid w:val="00CF1FFB"/>
    <w:rsid w:val="00E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301621-1377-4FC5-9572-B5FF61A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lang w:val="pt-PT"/>
    </w:rPr>
  </w:style>
  <w:style w:type="paragraph" w:styleId="BodyText2">
    <w:name w:val="Body Text 2"/>
    <w:basedOn w:val="Normal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 PROMOTORIA DE JUSTIÇA DE MIRANDÓPOLIS</vt:lpstr>
    </vt:vector>
  </TitlesOfParts>
  <Company>Ministerio Publico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 PROMOTORIA DE JUSTIÇA DE MIRANDÓPOLIS</dc:title>
  <dc:subject/>
  <dc:creator>Ministerio Publico</dc:creator>
  <cp:keywords/>
  <cp:lastModifiedBy>Gabriel Moricz</cp:lastModifiedBy>
  <cp:revision>2</cp:revision>
  <dcterms:created xsi:type="dcterms:W3CDTF">2020-09-22T20:43:00Z</dcterms:created>
  <dcterms:modified xsi:type="dcterms:W3CDTF">2020-09-22T20:43:00Z</dcterms:modified>
</cp:coreProperties>
</file>