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7B" w:rsidRPr="007E5FC0" w:rsidRDefault="00DD6F93" w:rsidP="006976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5FC0">
        <w:rPr>
          <w:rFonts w:ascii="Arial" w:hAnsi="Arial" w:cs="Arial"/>
          <w:b/>
          <w:sz w:val="24"/>
          <w:szCs w:val="24"/>
        </w:rPr>
        <w:t>PROMOTORIA DE JUSTIÇA D</w:t>
      </w:r>
      <w:r w:rsidR="001B5B0F" w:rsidRPr="007E5FC0">
        <w:rPr>
          <w:rFonts w:ascii="Arial" w:hAnsi="Arial" w:cs="Arial"/>
          <w:b/>
          <w:sz w:val="24"/>
          <w:szCs w:val="24"/>
        </w:rPr>
        <w:t>A COMARCA D</w:t>
      </w:r>
      <w:r w:rsidRPr="007E5FC0">
        <w:rPr>
          <w:rFonts w:ascii="Arial" w:hAnsi="Arial" w:cs="Arial"/>
          <w:b/>
          <w:sz w:val="24"/>
          <w:szCs w:val="24"/>
        </w:rPr>
        <w:t>E ELDORADO/SP</w:t>
      </w:r>
    </w:p>
    <w:p w:rsidR="00DD6F93" w:rsidRPr="007E5FC0" w:rsidRDefault="00DD6F93" w:rsidP="006976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5FC0">
        <w:rPr>
          <w:rFonts w:ascii="Arial" w:hAnsi="Arial" w:cs="Arial"/>
          <w:b/>
          <w:sz w:val="24"/>
          <w:szCs w:val="24"/>
        </w:rPr>
        <w:t xml:space="preserve">INQUÉRITO CIVIL nº </w:t>
      </w:r>
      <w:r w:rsidR="007F40FF" w:rsidRPr="007E5FC0">
        <w:rPr>
          <w:rFonts w:ascii="Arial" w:hAnsi="Arial" w:cs="Arial"/>
          <w:b/>
          <w:sz w:val="24"/>
          <w:szCs w:val="24"/>
        </w:rPr>
        <w:t>14.0255.</w:t>
      </w:r>
      <w:r w:rsidR="00802C76" w:rsidRPr="007E5FC0">
        <w:rPr>
          <w:rFonts w:ascii="Arial" w:hAnsi="Arial" w:cs="Arial"/>
          <w:b/>
          <w:sz w:val="24"/>
          <w:szCs w:val="24"/>
        </w:rPr>
        <w:t>0000</w:t>
      </w:r>
      <w:r w:rsidR="00010FE0">
        <w:rPr>
          <w:rFonts w:ascii="Arial" w:hAnsi="Arial" w:cs="Arial"/>
          <w:b/>
          <w:sz w:val="24"/>
          <w:szCs w:val="24"/>
        </w:rPr>
        <w:t>0</w:t>
      </w:r>
      <w:r w:rsidR="00EE1654" w:rsidRPr="007E5FC0">
        <w:rPr>
          <w:rFonts w:ascii="Arial" w:hAnsi="Arial" w:cs="Arial"/>
          <w:b/>
          <w:sz w:val="24"/>
          <w:szCs w:val="24"/>
        </w:rPr>
        <w:t>16</w:t>
      </w:r>
      <w:r w:rsidR="00802C76" w:rsidRPr="007E5FC0">
        <w:rPr>
          <w:rFonts w:ascii="Arial" w:hAnsi="Arial" w:cs="Arial"/>
          <w:b/>
          <w:sz w:val="24"/>
          <w:szCs w:val="24"/>
        </w:rPr>
        <w:t>/20</w:t>
      </w:r>
      <w:r w:rsidR="00010FE0">
        <w:rPr>
          <w:rFonts w:ascii="Arial" w:hAnsi="Arial" w:cs="Arial"/>
          <w:b/>
          <w:sz w:val="24"/>
          <w:szCs w:val="24"/>
        </w:rPr>
        <w:t>09-6</w:t>
      </w:r>
    </w:p>
    <w:p w:rsidR="0025750F" w:rsidRPr="007E5FC0" w:rsidRDefault="0025750F" w:rsidP="002575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5FC0">
        <w:rPr>
          <w:rFonts w:ascii="Arial" w:hAnsi="Arial" w:cs="Arial"/>
          <w:b/>
          <w:sz w:val="24"/>
          <w:szCs w:val="24"/>
        </w:rPr>
        <w:t>Representante:</w:t>
      </w:r>
      <w:r w:rsidRPr="007E5FC0">
        <w:rPr>
          <w:rFonts w:ascii="Arial" w:hAnsi="Arial" w:cs="Arial"/>
          <w:sz w:val="24"/>
          <w:szCs w:val="24"/>
        </w:rPr>
        <w:t xml:space="preserve"> </w:t>
      </w:r>
      <w:r w:rsidR="00010FE0" w:rsidRPr="00010FE0">
        <w:rPr>
          <w:rFonts w:ascii="Arial" w:hAnsi="Arial" w:cs="Arial"/>
          <w:sz w:val="24"/>
          <w:szCs w:val="24"/>
        </w:rPr>
        <w:t xml:space="preserve">Mauricio de Oliveira </w:t>
      </w:r>
      <w:r w:rsidR="00010FE0">
        <w:rPr>
          <w:rFonts w:ascii="Arial" w:hAnsi="Arial" w:cs="Arial"/>
          <w:sz w:val="24"/>
          <w:szCs w:val="24"/>
        </w:rPr>
        <w:t>(</w:t>
      </w:r>
      <w:r w:rsidR="00010FE0" w:rsidRPr="00010FE0">
        <w:rPr>
          <w:rFonts w:ascii="Arial" w:hAnsi="Arial" w:cs="Arial"/>
          <w:sz w:val="24"/>
          <w:szCs w:val="24"/>
        </w:rPr>
        <w:t>Presidente da Câmara Municipal de Iporanga</w:t>
      </w:r>
      <w:r w:rsidR="00010FE0">
        <w:rPr>
          <w:rFonts w:ascii="Arial" w:hAnsi="Arial" w:cs="Arial"/>
          <w:sz w:val="24"/>
          <w:szCs w:val="24"/>
        </w:rPr>
        <w:t>)</w:t>
      </w:r>
    </w:p>
    <w:p w:rsidR="0025750F" w:rsidRPr="007E5FC0" w:rsidRDefault="0025750F" w:rsidP="002575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5FC0">
        <w:rPr>
          <w:rFonts w:ascii="Arial" w:hAnsi="Arial" w:cs="Arial"/>
          <w:b/>
          <w:sz w:val="24"/>
          <w:szCs w:val="24"/>
        </w:rPr>
        <w:t>Representado:</w:t>
      </w:r>
      <w:r w:rsidRPr="007E5FC0">
        <w:rPr>
          <w:rFonts w:ascii="Arial" w:hAnsi="Arial" w:cs="Arial"/>
          <w:sz w:val="24"/>
          <w:szCs w:val="24"/>
        </w:rPr>
        <w:t xml:space="preserve"> </w:t>
      </w:r>
      <w:r w:rsidR="00010FE0">
        <w:rPr>
          <w:rFonts w:ascii="Arial" w:hAnsi="Arial" w:cs="Arial"/>
          <w:sz w:val="24"/>
          <w:szCs w:val="24"/>
        </w:rPr>
        <w:t>Gilson Divino dos Santos (ex-Presidente da Câmara Municipal de Iporanga)</w:t>
      </w:r>
    </w:p>
    <w:p w:rsidR="007F40FF" w:rsidRPr="007E5FC0" w:rsidRDefault="00236D51" w:rsidP="006976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5FC0">
        <w:rPr>
          <w:rFonts w:ascii="Arial" w:hAnsi="Arial" w:cs="Arial"/>
          <w:b/>
          <w:sz w:val="24"/>
          <w:szCs w:val="24"/>
        </w:rPr>
        <w:t>Área de Atuação</w:t>
      </w:r>
      <w:r w:rsidRPr="007E5FC0">
        <w:rPr>
          <w:rFonts w:ascii="Arial" w:hAnsi="Arial" w:cs="Arial"/>
          <w:sz w:val="24"/>
          <w:szCs w:val="24"/>
        </w:rPr>
        <w:t xml:space="preserve">: </w:t>
      </w:r>
      <w:r w:rsidR="00010FE0">
        <w:rPr>
          <w:rFonts w:ascii="Arial" w:hAnsi="Arial" w:cs="Arial"/>
          <w:sz w:val="24"/>
          <w:szCs w:val="24"/>
        </w:rPr>
        <w:t>Patrimônio Público</w:t>
      </w:r>
    </w:p>
    <w:p w:rsidR="00236D51" w:rsidRPr="007E5FC0" w:rsidRDefault="00236D51" w:rsidP="006976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5FC0">
        <w:rPr>
          <w:rFonts w:ascii="Arial" w:hAnsi="Arial" w:cs="Arial"/>
          <w:b/>
          <w:sz w:val="24"/>
          <w:szCs w:val="24"/>
        </w:rPr>
        <w:t>Tema</w:t>
      </w:r>
      <w:r w:rsidRPr="007E5FC0">
        <w:rPr>
          <w:rFonts w:ascii="Arial" w:hAnsi="Arial" w:cs="Arial"/>
          <w:sz w:val="24"/>
          <w:szCs w:val="24"/>
        </w:rPr>
        <w:t xml:space="preserve">: </w:t>
      </w:r>
      <w:r w:rsidR="00010FE0">
        <w:rPr>
          <w:rFonts w:ascii="Arial" w:hAnsi="Arial" w:cs="Arial"/>
          <w:sz w:val="24"/>
          <w:szCs w:val="24"/>
        </w:rPr>
        <w:t>Improbidade Administrativa – Prejuízo ao Erário – Art. 10 da LIA</w:t>
      </w:r>
    </w:p>
    <w:p w:rsidR="00DD6F93" w:rsidRPr="007E5FC0" w:rsidRDefault="00236D51" w:rsidP="006976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5FC0">
        <w:rPr>
          <w:rFonts w:ascii="Arial" w:hAnsi="Arial" w:cs="Arial"/>
          <w:b/>
          <w:sz w:val="24"/>
          <w:szCs w:val="24"/>
        </w:rPr>
        <w:t>Assunto</w:t>
      </w:r>
      <w:r w:rsidRPr="007E5FC0">
        <w:rPr>
          <w:rFonts w:ascii="Arial" w:hAnsi="Arial" w:cs="Arial"/>
          <w:sz w:val="24"/>
          <w:szCs w:val="24"/>
        </w:rPr>
        <w:t xml:space="preserve">: </w:t>
      </w:r>
      <w:r w:rsidR="00010FE0">
        <w:rPr>
          <w:rFonts w:ascii="Arial" w:hAnsi="Arial" w:cs="Arial"/>
          <w:sz w:val="24"/>
          <w:szCs w:val="24"/>
        </w:rPr>
        <w:t>Desvio de Recursos</w:t>
      </w:r>
    </w:p>
    <w:p w:rsidR="001B5B0F" w:rsidRPr="007E5FC0" w:rsidRDefault="001B5B0F" w:rsidP="001B5B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5750F" w:rsidRPr="007E5FC0" w:rsidRDefault="0025750F" w:rsidP="001B5B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5750F" w:rsidRPr="007E5FC0" w:rsidRDefault="0025750F" w:rsidP="001B5B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74B2" w:rsidRPr="007E5FC0" w:rsidRDefault="001B74B2" w:rsidP="001B74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5FC0">
        <w:rPr>
          <w:rFonts w:ascii="Arial" w:hAnsi="Arial" w:cs="Arial"/>
          <w:b/>
          <w:sz w:val="24"/>
          <w:szCs w:val="24"/>
          <w:u w:val="single"/>
        </w:rPr>
        <w:t>PROMOÇÃO DE ARQUIVAMENTO</w:t>
      </w:r>
    </w:p>
    <w:p w:rsidR="001B74B2" w:rsidRPr="007E5FC0" w:rsidRDefault="001B74B2" w:rsidP="001B74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B74B2" w:rsidRPr="007E5FC0" w:rsidRDefault="001B74B2" w:rsidP="001B74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36B12" w:rsidRPr="001A0C46" w:rsidRDefault="00D36B12" w:rsidP="00D36B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36B12" w:rsidRPr="001A0C46" w:rsidRDefault="00D36B12" w:rsidP="00D36B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A0C46">
        <w:rPr>
          <w:rFonts w:ascii="Arial" w:hAnsi="Arial" w:cs="Arial"/>
          <w:b/>
          <w:bCs/>
          <w:i/>
          <w:iCs/>
          <w:sz w:val="24"/>
          <w:szCs w:val="24"/>
        </w:rPr>
        <w:t>EGRÉGIO CONSELHO SUPERIOR DO MINISTÉRIO PÚBLICO,</w:t>
      </w:r>
    </w:p>
    <w:p w:rsidR="00D36B12" w:rsidRPr="001A0C46" w:rsidRDefault="00D36B12" w:rsidP="00D36B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A0C46">
        <w:rPr>
          <w:rFonts w:ascii="Arial" w:hAnsi="Arial" w:cs="Arial"/>
          <w:b/>
          <w:bCs/>
          <w:i/>
          <w:iCs/>
          <w:sz w:val="24"/>
          <w:szCs w:val="24"/>
        </w:rPr>
        <w:t>DOUTO RELATOR CONSELHEIRO.</w:t>
      </w:r>
    </w:p>
    <w:p w:rsidR="00D36B12" w:rsidRPr="001B5B0F" w:rsidRDefault="00D36B12" w:rsidP="00D36B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74B2" w:rsidRPr="007E5FC0" w:rsidRDefault="001B74B2" w:rsidP="001B74B2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74B2" w:rsidRPr="007E5FC0" w:rsidRDefault="001B74B2" w:rsidP="001B74B2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74B2" w:rsidRPr="007E5FC0" w:rsidRDefault="001B74B2" w:rsidP="001B74B2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5FC0">
        <w:rPr>
          <w:rFonts w:ascii="Arial" w:eastAsia="Times New Roman" w:hAnsi="Arial" w:cs="Arial"/>
          <w:sz w:val="24"/>
          <w:szCs w:val="24"/>
          <w:lang w:eastAsia="pt-BR"/>
        </w:rPr>
        <w:t>Vistos.</w:t>
      </w:r>
    </w:p>
    <w:p w:rsidR="00DD6F93" w:rsidRPr="007E5FC0" w:rsidRDefault="00DD6F93" w:rsidP="006976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A3449" w:rsidRPr="007E5FC0" w:rsidRDefault="005D312F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7E5FC0">
        <w:rPr>
          <w:rFonts w:ascii="Arial" w:hAnsi="Arial" w:cs="Arial"/>
          <w:sz w:val="24"/>
          <w:szCs w:val="24"/>
        </w:rPr>
        <w:t xml:space="preserve">Trata-se de </w:t>
      </w:r>
      <w:r w:rsidR="00236D51" w:rsidRPr="007E5FC0">
        <w:rPr>
          <w:rFonts w:ascii="Arial" w:hAnsi="Arial" w:cs="Arial"/>
          <w:sz w:val="24"/>
          <w:szCs w:val="24"/>
        </w:rPr>
        <w:t>Inquérito Civil</w:t>
      </w:r>
      <w:r w:rsidRPr="007E5FC0">
        <w:rPr>
          <w:rFonts w:ascii="Arial" w:hAnsi="Arial" w:cs="Arial"/>
          <w:sz w:val="24"/>
          <w:szCs w:val="24"/>
        </w:rPr>
        <w:t xml:space="preserve"> instaurado </w:t>
      </w:r>
      <w:r w:rsidR="00010FE0" w:rsidRPr="00010FE0">
        <w:rPr>
          <w:rFonts w:ascii="Arial" w:hAnsi="Arial" w:cs="Arial"/>
          <w:sz w:val="24"/>
          <w:szCs w:val="24"/>
        </w:rPr>
        <w:t>em 13 de outubro de 2009</w:t>
      </w:r>
      <w:r w:rsidR="00010FE0">
        <w:rPr>
          <w:rFonts w:ascii="Arial" w:hAnsi="Arial" w:cs="Arial"/>
          <w:sz w:val="24"/>
          <w:szCs w:val="24"/>
        </w:rPr>
        <w:t xml:space="preserve">, figurando como representado </w:t>
      </w:r>
      <w:r w:rsidR="00010FE0" w:rsidRPr="00010FE0">
        <w:rPr>
          <w:rFonts w:ascii="Arial" w:hAnsi="Arial" w:cs="Arial"/>
          <w:b/>
          <w:sz w:val="24"/>
          <w:szCs w:val="24"/>
        </w:rPr>
        <w:t>Gilson Divino dos Santos (</w:t>
      </w:r>
      <w:r w:rsidR="00010FE0">
        <w:rPr>
          <w:rFonts w:ascii="Arial" w:hAnsi="Arial" w:cs="Arial"/>
          <w:b/>
          <w:sz w:val="24"/>
          <w:szCs w:val="24"/>
        </w:rPr>
        <w:t>ex-</w:t>
      </w:r>
      <w:r w:rsidR="00010FE0" w:rsidRPr="00010FE0">
        <w:rPr>
          <w:rFonts w:ascii="Arial" w:hAnsi="Arial" w:cs="Arial"/>
          <w:b/>
          <w:sz w:val="24"/>
          <w:szCs w:val="24"/>
        </w:rPr>
        <w:t>Presidente da Câmara Municipal de Iporanga)</w:t>
      </w:r>
      <w:r w:rsidR="00010FE0">
        <w:rPr>
          <w:rFonts w:ascii="Arial" w:hAnsi="Arial" w:cs="Arial"/>
          <w:sz w:val="24"/>
          <w:szCs w:val="24"/>
        </w:rPr>
        <w:t>,</w:t>
      </w:r>
      <w:r w:rsidR="00010FE0" w:rsidRPr="00010FE0">
        <w:rPr>
          <w:rFonts w:ascii="Arial" w:hAnsi="Arial" w:cs="Arial"/>
          <w:sz w:val="24"/>
          <w:szCs w:val="24"/>
        </w:rPr>
        <w:t xml:space="preserve"> para apurar eventuais irregularidades referentes a adiantamentos de despesas e despesas com viagens realizadas pela Câmara Municipal de Iporanga no exercício de 2008.</w:t>
      </w:r>
    </w:p>
    <w:p w:rsidR="00EA3449" w:rsidRDefault="00EA3449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010FE0" w:rsidRDefault="00010FE0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0FE0">
        <w:rPr>
          <w:rFonts w:ascii="Arial" w:eastAsia="Times New Roman" w:hAnsi="Arial" w:cs="Arial"/>
          <w:sz w:val="24"/>
          <w:szCs w:val="24"/>
          <w:lang w:eastAsia="pt-BR"/>
        </w:rPr>
        <w:t>Ao assumir a presidência do Legislativo Municipal, o representante contratou empresa para auditar as contas daquela casa de leis, tendo sido constatadas diversas irregularidades elencadas no relatório de fls. 06</w:t>
      </w:r>
      <w:r>
        <w:rPr>
          <w:rFonts w:ascii="Arial" w:eastAsia="Times New Roman" w:hAnsi="Arial" w:cs="Arial"/>
          <w:sz w:val="24"/>
          <w:szCs w:val="24"/>
          <w:lang w:eastAsia="pt-BR"/>
        </w:rPr>
        <w:t>/207</w:t>
      </w:r>
      <w:r w:rsidRPr="00010FE0">
        <w:rPr>
          <w:rFonts w:ascii="Arial" w:eastAsia="Times New Roman" w:hAnsi="Arial" w:cs="Arial"/>
          <w:sz w:val="24"/>
          <w:szCs w:val="24"/>
          <w:lang w:eastAsia="pt-BR"/>
        </w:rPr>
        <w:t xml:space="preserve">, juntado aos autos, sendo certo que o presente procedimento tem como </w:t>
      </w:r>
      <w:r w:rsidRPr="00010FE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escopo a investigação de possível ato de improbidade administrativa no dispêndio de dinheiro público para o custeio de despesas de viagens de funcionários da Câmara Municipal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10FE0" w:rsidRDefault="00010FE0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0FE0" w:rsidRDefault="00010FE0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010FE0">
        <w:rPr>
          <w:rFonts w:ascii="Arial" w:hAnsi="Arial" w:cs="Arial"/>
          <w:sz w:val="24"/>
          <w:szCs w:val="24"/>
        </w:rPr>
        <w:t>A auditoria analisou os procedimentos de prestação de contas dos adiantamentos, apontando irregularidades como a ausência do nome do destinatário (Câmara Municipal de Iporanga) nas notas fiscais; a ausência de assinatura do presidente nas requisições; a ausência do quantitativo de despesas em algumas notas; e o fato de terem sido apresentados alguns comprovantes de despesa sem validade fiscal (fls. 09 e ss.).</w:t>
      </w:r>
    </w:p>
    <w:p w:rsidR="00010FE0" w:rsidRDefault="00010FE0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010FE0" w:rsidRDefault="00010FE0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010FE0">
        <w:rPr>
          <w:rFonts w:ascii="Arial" w:hAnsi="Arial" w:cs="Arial"/>
          <w:sz w:val="24"/>
          <w:szCs w:val="24"/>
        </w:rPr>
        <w:t>Na sequência foram juntadas todas as notas fiscais relativas aos processos de adiantamento de despesas para viagens (fls. 68 e ss.).</w:t>
      </w:r>
    </w:p>
    <w:p w:rsidR="00010FE0" w:rsidRDefault="00010FE0" w:rsidP="00302409">
      <w:pPr>
        <w:pStyle w:val="PargrafodaLista"/>
        <w:tabs>
          <w:tab w:val="left" w:pos="3285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302409" w:rsidRDefault="00302409" w:rsidP="00302409">
      <w:pPr>
        <w:pStyle w:val="PargrafodaLista"/>
        <w:tabs>
          <w:tab w:val="left" w:pos="3285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302409">
        <w:rPr>
          <w:rFonts w:ascii="Arial" w:hAnsi="Arial" w:cs="Arial"/>
          <w:sz w:val="24"/>
          <w:szCs w:val="24"/>
        </w:rPr>
        <w:t>O investigado, notificado, não apresentou defesa</w:t>
      </w:r>
      <w:r>
        <w:rPr>
          <w:rFonts w:ascii="Arial" w:hAnsi="Arial" w:cs="Arial"/>
          <w:sz w:val="24"/>
          <w:szCs w:val="24"/>
        </w:rPr>
        <w:t>. Foram requisitados documentos e, diante da recusa, requisitou-se a instauração de Inquérito Policial para apuração do cometimento do crime tipificado no artigo 10 da Lei nº 7.347/85 (fls. 223).</w:t>
      </w:r>
    </w:p>
    <w:p w:rsidR="00302409" w:rsidRDefault="00302409" w:rsidP="00302409">
      <w:pPr>
        <w:pStyle w:val="PargrafodaLista"/>
        <w:tabs>
          <w:tab w:val="left" w:pos="3285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302409" w:rsidRDefault="00302409" w:rsidP="00302409">
      <w:pPr>
        <w:pStyle w:val="PargrafodaLista"/>
        <w:tabs>
          <w:tab w:val="left" w:pos="3285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acostada aos </w:t>
      </w:r>
      <w:r w:rsidRPr="00302409">
        <w:rPr>
          <w:rFonts w:ascii="Arial" w:hAnsi="Arial" w:cs="Arial"/>
          <w:sz w:val="24"/>
          <w:szCs w:val="24"/>
        </w:rPr>
        <w:t xml:space="preserve">autos cópia de suas declarações prestadas em inquérito policial </w:t>
      </w:r>
      <w:r>
        <w:rPr>
          <w:rFonts w:ascii="Arial" w:hAnsi="Arial" w:cs="Arial"/>
          <w:sz w:val="24"/>
          <w:szCs w:val="24"/>
        </w:rPr>
        <w:t>acima mencionado (fls. 241/250)</w:t>
      </w:r>
      <w:r w:rsidRPr="00302409">
        <w:rPr>
          <w:rFonts w:ascii="Arial" w:hAnsi="Arial" w:cs="Arial"/>
          <w:sz w:val="24"/>
          <w:szCs w:val="24"/>
        </w:rPr>
        <w:t>.</w:t>
      </w:r>
    </w:p>
    <w:p w:rsidR="00302409" w:rsidRDefault="00302409" w:rsidP="00302409">
      <w:pPr>
        <w:pStyle w:val="PargrafodaLista"/>
        <w:tabs>
          <w:tab w:val="left" w:pos="3285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302409" w:rsidRDefault="00302409" w:rsidP="00302409">
      <w:pPr>
        <w:pStyle w:val="PargrafodaLista"/>
        <w:tabs>
          <w:tab w:val="left" w:pos="3285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Promovido o arquivamento do procedimento (fls. 271/274). O Egrégio Conselho Superior do Ministério Público rejeitou a promoção, convertendo o julgamento em diligências, uma vez que as despesas deveriam ser cabalmente verificadas, com vistas a propositura de ação civil públic</w:t>
      </w:r>
      <w:r w:rsidR="00D36B1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para ressarcimento do dano ao erário, que não se pode afirmar como de pequena monta (fls. 278/279).</w:t>
      </w:r>
    </w:p>
    <w:p w:rsidR="00302409" w:rsidRDefault="00302409" w:rsidP="00302409">
      <w:pPr>
        <w:pStyle w:val="PargrafodaLista"/>
        <w:tabs>
          <w:tab w:val="left" w:pos="3285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302409" w:rsidRDefault="00302409" w:rsidP="00302409">
      <w:pPr>
        <w:pStyle w:val="PargrafodaLista"/>
        <w:tabs>
          <w:tab w:val="left" w:pos="3285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do voto do Eminente Conselheiro, foram oficiados o Representado, bem como funcionários da Câmara Municipal para prestar esclarecimentos.</w:t>
      </w:r>
    </w:p>
    <w:p w:rsidR="00302409" w:rsidRDefault="00302409" w:rsidP="00302409">
      <w:pPr>
        <w:pStyle w:val="PargrafodaLista"/>
        <w:tabs>
          <w:tab w:val="left" w:pos="3285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302409" w:rsidRDefault="0090242E" w:rsidP="00302409">
      <w:pPr>
        <w:pStyle w:val="PargrafodaLista"/>
        <w:tabs>
          <w:tab w:val="left" w:pos="3285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Oficiou-se também ao Representante para esclarecimentos e para o estabelecimento Evandro de Avila Camargo – ME requisitando a remessa da nota fiscal nº 818.</w:t>
      </w:r>
    </w:p>
    <w:p w:rsidR="00302409" w:rsidRDefault="00302409" w:rsidP="00302409">
      <w:pPr>
        <w:pStyle w:val="PargrafodaLista"/>
        <w:tabs>
          <w:tab w:val="left" w:pos="3285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010FE0" w:rsidRDefault="002D39B3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nota fiscal no valor de R$ 9,00 foi acostada aos autos (fls. 294).</w:t>
      </w:r>
    </w:p>
    <w:p w:rsidR="007E6661" w:rsidRDefault="007E6661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7E6661" w:rsidRDefault="007E6661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funcionário </w:t>
      </w:r>
      <w:r w:rsidRPr="00D36B12">
        <w:rPr>
          <w:rFonts w:ascii="Arial" w:hAnsi="Arial" w:cs="Arial"/>
          <w:i/>
          <w:sz w:val="24"/>
          <w:szCs w:val="24"/>
          <w:u w:val="single"/>
        </w:rPr>
        <w:t>Edson Marcos de Lima</w:t>
      </w:r>
      <w:r>
        <w:rPr>
          <w:rFonts w:ascii="Arial" w:hAnsi="Arial" w:cs="Arial"/>
          <w:sz w:val="24"/>
          <w:szCs w:val="24"/>
        </w:rPr>
        <w:t xml:space="preserve"> esclareceu que era motorista da Câmara a época e não pode esclarecer os motivos das viagens que realizava, porquanto não era sua atribuição. Ademias afirmou que se tratou de falha formal a ausência do preenchimento do destinatário nos respectivos documentos fiscais (fls. 296/297).</w:t>
      </w:r>
    </w:p>
    <w:p w:rsidR="00010FE0" w:rsidRDefault="00010FE0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EA501D" w:rsidRDefault="00EA501D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mesmo sentido foi a manifestação de </w:t>
      </w:r>
      <w:r w:rsidRPr="00D36B12">
        <w:rPr>
          <w:rFonts w:ascii="Arial" w:hAnsi="Arial" w:cs="Arial"/>
          <w:i/>
          <w:sz w:val="24"/>
          <w:szCs w:val="24"/>
          <w:u w:val="single"/>
        </w:rPr>
        <w:t>Josimar Nunes da Silva</w:t>
      </w:r>
      <w:r>
        <w:rPr>
          <w:rFonts w:ascii="Arial" w:hAnsi="Arial" w:cs="Arial"/>
          <w:sz w:val="24"/>
          <w:szCs w:val="24"/>
        </w:rPr>
        <w:t xml:space="preserve"> (fls. 324), afirmando que não sabe declinar os motivos das viagens, bem como afirma não ter requerido adi</w:t>
      </w:r>
      <w:r w:rsidR="00D36B12">
        <w:rPr>
          <w:rFonts w:ascii="Arial" w:hAnsi="Arial" w:cs="Arial"/>
          <w:sz w:val="24"/>
          <w:szCs w:val="24"/>
        </w:rPr>
        <w:t xml:space="preserve">antamento de despesas </w:t>
      </w:r>
      <w:r>
        <w:rPr>
          <w:rFonts w:ascii="Arial" w:hAnsi="Arial" w:cs="Arial"/>
          <w:sz w:val="24"/>
          <w:szCs w:val="24"/>
        </w:rPr>
        <w:t>.</w:t>
      </w:r>
    </w:p>
    <w:p w:rsidR="00EA501D" w:rsidRDefault="00EA501D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EA501D" w:rsidRDefault="00EA501D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nota fiscal nº 5222 foi acostada aos autos indicando o valor gasto como R$ 5,00.</w:t>
      </w:r>
    </w:p>
    <w:p w:rsidR="00EA501D" w:rsidRDefault="00EA501D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EA501D" w:rsidRDefault="00EA501D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representante </w:t>
      </w:r>
      <w:r w:rsidRPr="00D36B12">
        <w:rPr>
          <w:rFonts w:ascii="Arial" w:hAnsi="Arial" w:cs="Arial"/>
          <w:i/>
          <w:sz w:val="24"/>
          <w:szCs w:val="24"/>
          <w:u w:val="single"/>
        </w:rPr>
        <w:t>Mauricio de Oliveira</w:t>
      </w:r>
      <w:r>
        <w:rPr>
          <w:rFonts w:ascii="Arial" w:hAnsi="Arial" w:cs="Arial"/>
          <w:sz w:val="24"/>
          <w:szCs w:val="24"/>
        </w:rPr>
        <w:t>, em resposta ao ofício encaminhado, afirmou que acredita que os erros apontados pela auditoria foram de cunho formal e que jamais constatou qualquer irregularidade dolosa no uso dos adiantamentos de viagens (fls. 338). Completou afirmando que verificou o desconhecimento do procedimento pelos usuários e servidores daquela Casa de Leis.</w:t>
      </w:r>
    </w:p>
    <w:p w:rsidR="00EA501D" w:rsidRDefault="00EA501D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EA501D" w:rsidRDefault="00EA501D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determinado a remessa de ofício para o Representado para que informasse os nomes dos servidores responsáveis pela liberação e prestação de contas dos adiantamentos de despesas de viagens (fls. 339). Pessoalmente notificado não apresentou os nomes (fls. 35</w:t>
      </w:r>
      <w:r w:rsidR="00D36B1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).</w:t>
      </w:r>
    </w:p>
    <w:p w:rsidR="00D36B12" w:rsidRDefault="00D36B12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D36B12" w:rsidRDefault="00D36B12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Manifestação de prorrogação do </w:t>
      </w:r>
      <w:r>
        <w:rPr>
          <w:rFonts w:ascii="Arial" w:hAnsi="Arial" w:cs="Arial"/>
          <w:b/>
          <w:sz w:val="24"/>
          <w:szCs w:val="24"/>
        </w:rPr>
        <w:t>Ministério Público</w:t>
      </w:r>
      <w:r>
        <w:rPr>
          <w:rFonts w:ascii="Arial" w:hAnsi="Arial" w:cs="Arial"/>
          <w:sz w:val="24"/>
          <w:szCs w:val="24"/>
        </w:rPr>
        <w:t xml:space="preserve"> (fls. 358/361) foram reiterados os ofícios encaminhados, entretanto </w:t>
      </w:r>
      <w:r w:rsidR="00BA0875">
        <w:rPr>
          <w:rFonts w:ascii="Arial" w:hAnsi="Arial" w:cs="Arial"/>
          <w:sz w:val="24"/>
          <w:szCs w:val="24"/>
        </w:rPr>
        <w:t xml:space="preserve">sem sucesso na localização de </w:t>
      </w:r>
      <w:r w:rsidR="00BA0875">
        <w:rPr>
          <w:rFonts w:ascii="Arial" w:hAnsi="Arial" w:cs="Arial"/>
          <w:i/>
          <w:sz w:val="24"/>
          <w:szCs w:val="24"/>
          <w:u w:val="single"/>
        </w:rPr>
        <w:t>Maurício de Oliveira</w:t>
      </w:r>
      <w:r w:rsidR="00BA0875">
        <w:rPr>
          <w:rFonts w:ascii="Arial" w:hAnsi="Arial" w:cs="Arial"/>
          <w:sz w:val="24"/>
          <w:szCs w:val="24"/>
        </w:rPr>
        <w:t>,</w:t>
      </w:r>
      <w:r w:rsidR="00B624E7">
        <w:rPr>
          <w:rFonts w:ascii="Arial" w:hAnsi="Arial" w:cs="Arial"/>
          <w:sz w:val="24"/>
          <w:szCs w:val="24"/>
        </w:rPr>
        <w:t xml:space="preserve"> Representante, então presidente da Câmara Municipal de Iporanga,</w:t>
      </w:r>
      <w:r w:rsidR="00BA0875">
        <w:rPr>
          <w:rFonts w:ascii="Arial" w:hAnsi="Arial" w:cs="Arial"/>
          <w:sz w:val="24"/>
          <w:szCs w:val="24"/>
        </w:rPr>
        <w:t xml:space="preserve"> inclusive por pesquisa CAEX (fls. 369/373).</w:t>
      </w:r>
    </w:p>
    <w:p w:rsidR="00BA0875" w:rsidRDefault="00BA0875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BA0875" w:rsidRPr="00BA0875" w:rsidRDefault="00BA0875" w:rsidP="00010FE0">
      <w:pPr>
        <w:pStyle w:val="PargrafodaLista"/>
        <w:tabs>
          <w:tab w:val="left" w:pos="3930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Ouvido </w:t>
      </w:r>
      <w:r>
        <w:rPr>
          <w:rFonts w:ascii="Arial" w:hAnsi="Arial" w:cs="Arial"/>
          <w:i/>
          <w:sz w:val="24"/>
          <w:szCs w:val="24"/>
          <w:u w:val="single"/>
        </w:rPr>
        <w:t>Valmor Franco do Amaral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(fls. 367) nada esclareceu sobre os fatos. Certificado nos autos novo endereço de </w:t>
      </w:r>
      <w:r>
        <w:rPr>
          <w:rFonts w:ascii="Arial" w:hAnsi="Arial" w:cs="Arial"/>
          <w:i/>
          <w:sz w:val="24"/>
          <w:szCs w:val="24"/>
          <w:u w:val="single"/>
        </w:rPr>
        <w:t>Maurício de Oliveira</w:t>
      </w:r>
      <w:r>
        <w:rPr>
          <w:rFonts w:ascii="Arial" w:hAnsi="Arial" w:cs="Arial"/>
          <w:sz w:val="24"/>
          <w:szCs w:val="24"/>
        </w:rPr>
        <w:t xml:space="preserve"> o Representante não quis prestar maiores esclarecimentos, uma vez que recebeu a correspondência mas não atendeu ao chamado (fls. 375).</w:t>
      </w:r>
    </w:p>
    <w:p w:rsidR="009967CF" w:rsidRDefault="009967CF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9967CF" w:rsidRDefault="009967CF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 o relatório.</w:t>
      </w:r>
    </w:p>
    <w:p w:rsidR="001B74B2" w:rsidRPr="007E5FC0" w:rsidRDefault="001B74B2" w:rsidP="001B74B2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B74B2" w:rsidRPr="007E5FC0" w:rsidRDefault="001B74B2" w:rsidP="001B74B2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  <w:r w:rsidRPr="007E5FC0">
        <w:rPr>
          <w:rFonts w:ascii="Arial" w:hAnsi="Arial" w:cs="Arial"/>
          <w:b/>
          <w:sz w:val="24"/>
          <w:szCs w:val="24"/>
        </w:rPr>
        <w:t>1. Do Objeto do Inquérito Civil</w:t>
      </w:r>
    </w:p>
    <w:p w:rsidR="001B74B2" w:rsidRPr="007E5FC0" w:rsidRDefault="001B74B2" w:rsidP="001B74B2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B74B2" w:rsidRPr="007E5FC0" w:rsidRDefault="001B74B2" w:rsidP="001B74B2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5FC0">
        <w:rPr>
          <w:rFonts w:ascii="Arial" w:eastAsia="Times New Roman" w:hAnsi="Arial" w:cs="Arial"/>
          <w:sz w:val="24"/>
          <w:szCs w:val="24"/>
          <w:lang w:eastAsia="pt-BR"/>
        </w:rPr>
        <w:t xml:space="preserve">Em primeiro lugar, observo que o objeto deste Inquérito Civil é </w:t>
      </w:r>
      <w:r w:rsidR="009967CF">
        <w:rPr>
          <w:rFonts w:ascii="Arial" w:hAnsi="Arial" w:cs="Arial"/>
          <w:sz w:val="24"/>
          <w:szCs w:val="24"/>
        </w:rPr>
        <w:t xml:space="preserve">a </w:t>
      </w:r>
      <w:r w:rsidR="00987E3E">
        <w:rPr>
          <w:rFonts w:ascii="Arial" w:hAnsi="Arial" w:cs="Arial"/>
          <w:sz w:val="24"/>
          <w:szCs w:val="24"/>
        </w:rPr>
        <w:t>i</w:t>
      </w:r>
      <w:r w:rsidR="00987E3E" w:rsidRPr="00987E3E">
        <w:rPr>
          <w:rFonts w:ascii="Arial" w:hAnsi="Arial" w:cs="Arial"/>
          <w:sz w:val="24"/>
          <w:szCs w:val="24"/>
        </w:rPr>
        <w:t>nvestigação da ocorrência de irregularidades no gasto de adiantamentos para despesas de viagens</w:t>
      </w:r>
      <w:r w:rsidRPr="007E5FC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B74B2" w:rsidRPr="007E5FC0" w:rsidRDefault="001B74B2" w:rsidP="001B74B2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74B2" w:rsidRPr="007E5FC0" w:rsidRDefault="001B74B2" w:rsidP="001B74B2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E5FC0">
        <w:rPr>
          <w:rFonts w:ascii="Arial" w:eastAsia="Times New Roman" w:hAnsi="Arial" w:cs="Arial"/>
          <w:b/>
          <w:sz w:val="24"/>
          <w:szCs w:val="24"/>
          <w:lang w:eastAsia="pt-BR"/>
        </w:rPr>
        <w:t>2. Do Arquivamento</w:t>
      </w:r>
    </w:p>
    <w:p w:rsidR="001B74B2" w:rsidRPr="007E5FC0" w:rsidRDefault="001B74B2" w:rsidP="001B74B2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B74B2" w:rsidRPr="007E5FC0" w:rsidRDefault="001B74B2" w:rsidP="001B74B2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E5FC0">
        <w:rPr>
          <w:rFonts w:ascii="Arial" w:eastAsia="Times New Roman" w:hAnsi="Arial" w:cs="Arial"/>
          <w:b/>
          <w:sz w:val="24"/>
          <w:szCs w:val="24"/>
          <w:lang w:eastAsia="pt-BR"/>
        </w:rPr>
        <w:t>É CASO DE ARQUIVAMENTO DO INQUÉRITO CIVIL.</w:t>
      </w:r>
    </w:p>
    <w:p w:rsidR="00D20700" w:rsidRDefault="00D20700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987E3E" w:rsidRDefault="00987E3E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 devido acatamento </w:t>
      </w:r>
      <w:r w:rsidR="00B624E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decisão do Egrégio Conselho </w:t>
      </w:r>
      <w:r w:rsidR="00B624E7">
        <w:rPr>
          <w:rFonts w:ascii="Arial" w:hAnsi="Arial" w:cs="Arial"/>
          <w:sz w:val="24"/>
          <w:szCs w:val="24"/>
        </w:rPr>
        <w:t xml:space="preserve">Superior </w:t>
      </w:r>
      <w:r>
        <w:rPr>
          <w:rFonts w:ascii="Arial" w:hAnsi="Arial" w:cs="Arial"/>
          <w:sz w:val="24"/>
          <w:szCs w:val="24"/>
        </w:rPr>
        <w:t>do Ministério Público, entendo que os esforços tendentes a elucidação de eventuais despesas sem justificação que poderiam ter causado prejuízo ao erário se encerraram sem a comprovação da improbidade administrativa.</w:t>
      </w:r>
    </w:p>
    <w:p w:rsidR="00987E3E" w:rsidRDefault="00987E3E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987E3E" w:rsidRDefault="00987E3E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apontado no arquivamento anteriormente promovido, d</w:t>
      </w:r>
      <w:r w:rsidRPr="00987E3E">
        <w:rPr>
          <w:rFonts w:ascii="Arial" w:hAnsi="Arial" w:cs="Arial"/>
          <w:sz w:val="24"/>
          <w:szCs w:val="24"/>
        </w:rPr>
        <w:t xml:space="preserve">eterminadas condutas, embora ilegais, irregulares, não chegam a afrontar o senso comum com o asco típico da improbidade, nem se revelam delineadas pelo elemento subjetivo a ela indissociável, permanecendo, muitas vezes, na zona cinzenta que separa a mera irregularidade do ato </w:t>
      </w:r>
      <w:r>
        <w:rPr>
          <w:rFonts w:ascii="Arial" w:hAnsi="Arial" w:cs="Arial"/>
          <w:sz w:val="24"/>
          <w:szCs w:val="24"/>
        </w:rPr>
        <w:t>de improbidade administrativa.</w:t>
      </w:r>
    </w:p>
    <w:p w:rsidR="00987E3E" w:rsidRDefault="00987E3E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987E3E" w:rsidRDefault="00987E3E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987E3E">
        <w:rPr>
          <w:rFonts w:ascii="Arial" w:hAnsi="Arial" w:cs="Arial"/>
          <w:sz w:val="24"/>
          <w:szCs w:val="24"/>
        </w:rPr>
        <w:t>Da análise das irregularidade</w:t>
      </w:r>
      <w:r w:rsidR="001A4291">
        <w:rPr>
          <w:rFonts w:ascii="Arial" w:hAnsi="Arial" w:cs="Arial"/>
          <w:sz w:val="24"/>
          <w:szCs w:val="24"/>
        </w:rPr>
        <w:t>s</w:t>
      </w:r>
      <w:r w:rsidRPr="00987E3E">
        <w:rPr>
          <w:rFonts w:ascii="Arial" w:hAnsi="Arial" w:cs="Arial"/>
          <w:sz w:val="24"/>
          <w:szCs w:val="24"/>
        </w:rPr>
        <w:t xml:space="preserve"> elencadas no relatório da auditoria não é possível extrair a prova da improbidade administrativa, sendo certo que a simples ausência do nome do destinatário na nota fiscal, a ausência de assinatura do presidente nas requisições, são situações que</w:t>
      </w:r>
      <w:r w:rsidR="00B624E7">
        <w:rPr>
          <w:rFonts w:ascii="Arial" w:hAnsi="Arial" w:cs="Arial"/>
          <w:sz w:val="24"/>
          <w:szCs w:val="24"/>
        </w:rPr>
        <w:t xml:space="preserve"> se</w:t>
      </w:r>
      <w:r w:rsidRPr="00987E3E">
        <w:rPr>
          <w:rFonts w:ascii="Arial" w:hAnsi="Arial" w:cs="Arial"/>
          <w:sz w:val="24"/>
          <w:szCs w:val="24"/>
        </w:rPr>
        <w:t xml:space="preserve"> exaurem no âmbito das formalidades, que, se por um lado merecem correção do órgão fiscalizador, por outro lado não podem justificar a prática da improbidade.</w:t>
      </w:r>
    </w:p>
    <w:p w:rsidR="00987E3E" w:rsidRDefault="00987E3E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987E3E" w:rsidRPr="00987E3E" w:rsidRDefault="00987E3E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próprio representante – </w:t>
      </w:r>
      <w:r>
        <w:rPr>
          <w:rFonts w:ascii="Arial" w:hAnsi="Arial" w:cs="Arial"/>
          <w:b/>
          <w:sz w:val="24"/>
          <w:szCs w:val="24"/>
        </w:rPr>
        <w:t xml:space="preserve">Maurício de Oliveira </w:t>
      </w:r>
      <w:r>
        <w:rPr>
          <w:rFonts w:ascii="Arial" w:hAnsi="Arial" w:cs="Arial"/>
          <w:sz w:val="24"/>
          <w:szCs w:val="24"/>
        </w:rPr>
        <w:t xml:space="preserve">– que sucedeu o Representado e teve a iniciativa de remeter o resultado da auditoria </w:t>
      </w:r>
      <w:r>
        <w:rPr>
          <w:rFonts w:ascii="Arial" w:hAnsi="Arial" w:cs="Arial"/>
          <w:sz w:val="24"/>
          <w:szCs w:val="24"/>
        </w:rPr>
        <w:lastRenderedPageBreak/>
        <w:t>por ele contratada</w:t>
      </w:r>
      <w:r w:rsidR="00B624E7">
        <w:rPr>
          <w:rFonts w:ascii="Arial" w:hAnsi="Arial" w:cs="Arial"/>
          <w:sz w:val="24"/>
          <w:szCs w:val="24"/>
        </w:rPr>
        <w:t xml:space="preserve"> ao Ministério Público</w:t>
      </w:r>
      <w:r>
        <w:rPr>
          <w:rFonts w:ascii="Arial" w:hAnsi="Arial" w:cs="Arial"/>
          <w:sz w:val="24"/>
          <w:szCs w:val="24"/>
        </w:rPr>
        <w:t>, afirmou que não vislumbrou qualquer tipo de ilegalidade nas despesas de viagens daquele que o antecedeu.</w:t>
      </w:r>
    </w:p>
    <w:p w:rsidR="00987E3E" w:rsidRDefault="00987E3E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987E3E" w:rsidRDefault="00987E3E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987E3E">
        <w:rPr>
          <w:rFonts w:ascii="Arial" w:hAnsi="Arial" w:cs="Arial"/>
          <w:sz w:val="24"/>
          <w:szCs w:val="24"/>
        </w:rPr>
        <w:t xml:space="preserve">Em relação às notas fiscais apontadas como suspeitas de alteração de valores, </w:t>
      </w:r>
      <w:r>
        <w:rPr>
          <w:rFonts w:ascii="Arial" w:hAnsi="Arial" w:cs="Arial"/>
          <w:sz w:val="24"/>
          <w:szCs w:val="24"/>
        </w:rPr>
        <w:t>apesar de devidamente confirmada a alteração</w:t>
      </w:r>
      <w:r w:rsidRPr="00987E3E">
        <w:rPr>
          <w:rFonts w:ascii="Arial" w:hAnsi="Arial" w:cs="Arial"/>
          <w:sz w:val="24"/>
          <w:szCs w:val="24"/>
        </w:rPr>
        <w:t xml:space="preserve"> o acréscimo de valores irrisórios como de R$ 5,00 para R$ 15,00 e de R$ 9,00 para R$ 19,00 (fls. 10), não justifica</w:t>
      </w:r>
      <w:r>
        <w:rPr>
          <w:rFonts w:ascii="Arial" w:hAnsi="Arial" w:cs="Arial"/>
          <w:sz w:val="24"/>
          <w:szCs w:val="24"/>
        </w:rPr>
        <w:t>m</w:t>
      </w:r>
      <w:r w:rsidRPr="00987E3E">
        <w:rPr>
          <w:rFonts w:ascii="Arial" w:hAnsi="Arial" w:cs="Arial"/>
          <w:sz w:val="24"/>
          <w:szCs w:val="24"/>
        </w:rPr>
        <w:t xml:space="preserve"> o ajuizamento de uma ação de responsabilidade civil pela prática de ato de improbidade administrativa.</w:t>
      </w:r>
    </w:p>
    <w:p w:rsidR="00987E3E" w:rsidRDefault="00987E3E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987E3E" w:rsidRDefault="001A4291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1A4291">
        <w:rPr>
          <w:rFonts w:ascii="Arial" w:hAnsi="Arial" w:cs="Arial"/>
          <w:sz w:val="24"/>
          <w:szCs w:val="24"/>
        </w:rPr>
        <w:t xml:space="preserve">prejuízo </w:t>
      </w:r>
      <w:r>
        <w:rPr>
          <w:rFonts w:ascii="Arial" w:hAnsi="Arial" w:cs="Arial"/>
          <w:sz w:val="24"/>
          <w:szCs w:val="24"/>
        </w:rPr>
        <w:t xml:space="preserve">econômico (R$ 20,00) </w:t>
      </w:r>
      <w:r w:rsidRPr="001A4291">
        <w:rPr>
          <w:rFonts w:ascii="Arial" w:hAnsi="Arial" w:cs="Arial"/>
          <w:sz w:val="24"/>
          <w:szCs w:val="24"/>
        </w:rPr>
        <w:t>não alcança expressão econômica relevante</w:t>
      </w:r>
      <w:r>
        <w:rPr>
          <w:rFonts w:ascii="Arial" w:hAnsi="Arial" w:cs="Arial"/>
          <w:sz w:val="24"/>
          <w:szCs w:val="24"/>
        </w:rPr>
        <w:t>.</w:t>
      </w:r>
    </w:p>
    <w:p w:rsidR="001A4291" w:rsidRDefault="001A4291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1A4291" w:rsidRDefault="001A4291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informação no tocante aos nomes dos servidores responsáveis pela liberação e prestação de contas dos adiantamentos de despesas de viagens, em nada adiantaria para a elucidação de eventual ato de improbidade administrativa, mas apenas poderia confirmar a existência de irregularidade formal </w:t>
      </w:r>
      <w:r w:rsidRPr="001A4291">
        <w:rPr>
          <w:rFonts w:ascii="Arial" w:eastAsia="Times New Roman" w:hAnsi="Arial" w:cs="Arial"/>
          <w:sz w:val="24"/>
          <w:szCs w:val="24"/>
          <w:lang w:eastAsia="pt-BR"/>
        </w:rPr>
        <w:t xml:space="preserve">que merecem correção do órgão fiscalizador, </w:t>
      </w:r>
      <w:r>
        <w:rPr>
          <w:rFonts w:ascii="Arial" w:eastAsia="Times New Roman" w:hAnsi="Arial" w:cs="Arial"/>
          <w:sz w:val="24"/>
          <w:szCs w:val="24"/>
          <w:lang w:eastAsia="pt-BR"/>
        </w:rPr>
        <w:t>mas</w:t>
      </w:r>
      <w:r w:rsidRPr="001A4291">
        <w:rPr>
          <w:rFonts w:ascii="Arial" w:eastAsia="Times New Roman" w:hAnsi="Arial" w:cs="Arial"/>
          <w:sz w:val="24"/>
          <w:szCs w:val="24"/>
          <w:lang w:eastAsia="pt-BR"/>
        </w:rPr>
        <w:t xml:space="preserve"> não justifica</w:t>
      </w:r>
      <w:r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1A4291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ED3DF0">
        <w:rPr>
          <w:rFonts w:ascii="Arial" w:eastAsia="Times New Roman" w:hAnsi="Arial" w:cs="Arial"/>
          <w:sz w:val="24"/>
          <w:szCs w:val="24"/>
          <w:lang w:eastAsia="pt-BR"/>
        </w:rPr>
        <w:t xml:space="preserve"> ação para responsabilização por ato de</w:t>
      </w:r>
      <w:r w:rsidRPr="001A4291">
        <w:rPr>
          <w:rFonts w:ascii="Arial" w:eastAsia="Times New Roman" w:hAnsi="Arial" w:cs="Arial"/>
          <w:sz w:val="24"/>
          <w:szCs w:val="24"/>
          <w:lang w:eastAsia="pt-BR"/>
        </w:rPr>
        <w:t xml:space="preserve"> improbidade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A4291" w:rsidRDefault="001A4291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ED3DF0" w:rsidRDefault="00ED3DF0" w:rsidP="00ED3DF0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Por fim, </w:t>
      </w:r>
      <w:r>
        <w:rPr>
          <w:rFonts w:ascii="Arial" w:eastAsia="Times New Roman" w:hAnsi="Arial" w:cs="Arial"/>
          <w:sz w:val="24"/>
          <w:szCs w:val="24"/>
          <w:lang w:eastAsia="pt-BR"/>
        </w:rPr>
        <w:t>vislumbro que é o caso de aplicação do enunciado da Súmula nº 34 do Conselho Superior do Ministério Público:</w:t>
      </w:r>
    </w:p>
    <w:p w:rsidR="00ED3DF0" w:rsidRDefault="00ED3DF0" w:rsidP="00ED3DF0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3DF0" w:rsidRPr="00604833" w:rsidRDefault="00ED3DF0" w:rsidP="00ED3DF0">
      <w:pPr>
        <w:suppressAutoHyphens/>
        <w:spacing w:after="0" w:line="360" w:lineRule="auto"/>
        <w:ind w:left="1418" w:firstLine="1417"/>
        <w:jc w:val="both"/>
        <w:rPr>
          <w:rFonts w:ascii="Arial" w:eastAsia="Times New Roman" w:hAnsi="Arial" w:cs="Arial"/>
          <w:i/>
          <w:lang w:eastAsia="pt-BR"/>
        </w:rPr>
      </w:pPr>
      <w:r w:rsidRPr="00604833">
        <w:rPr>
          <w:rFonts w:ascii="Arial" w:eastAsia="Times New Roman" w:hAnsi="Arial" w:cs="Arial"/>
          <w:i/>
          <w:lang w:eastAsia="pt-BR"/>
        </w:rPr>
        <w:t>SÚMULA n.º 34. “O Conselho Superior homologará arquivamento de inquéritos civis ou assemelhados cujo objeto autorize apenas a propositura de ação de reparação de danos ao erário, nos termos do art. 5º da Lei 8429/92, quando, cumulativamente (1) o prejuízo não alcançar expressão econômica relevante, assim entendido aquele que não seja superior ao previsto no art. 20 da Lei Federal nº 10.522/02; (2) houver prova de que o órgão do Ministério Público tenha comunicado o co-legitimado para a propositura da ação de ressarcimento, transmitindo os elementos de prova necessários a tal finalidade”. (NOVA REDAÇÃO, aprovada aos 05/08/14).</w:t>
      </w:r>
    </w:p>
    <w:p w:rsidR="00ED3DF0" w:rsidRDefault="00ED3DF0" w:rsidP="00ED3DF0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3DF0" w:rsidRDefault="00ED3DF0" w:rsidP="00ED3DF0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Conforme constou da fundamentação da alteração da referida Súmula, 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in verbis</w:t>
      </w:r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ED3DF0" w:rsidRDefault="00ED3DF0" w:rsidP="00ED3DF0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3DF0" w:rsidRPr="00604833" w:rsidRDefault="00ED3DF0" w:rsidP="00ED3DF0">
      <w:pPr>
        <w:suppressAutoHyphens/>
        <w:spacing w:after="0" w:line="360" w:lineRule="auto"/>
        <w:ind w:left="1418" w:firstLine="1417"/>
        <w:jc w:val="both"/>
        <w:rPr>
          <w:rFonts w:ascii="Arial" w:eastAsia="Times New Roman" w:hAnsi="Arial" w:cs="Arial"/>
          <w:i/>
          <w:lang w:eastAsia="pt-BR"/>
        </w:rPr>
      </w:pPr>
      <w:r>
        <w:rPr>
          <w:rFonts w:ascii="Arial" w:eastAsia="Times New Roman" w:hAnsi="Arial" w:cs="Arial"/>
          <w:i/>
          <w:lang w:eastAsia="pt-BR"/>
        </w:rPr>
        <w:t>“</w:t>
      </w:r>
      <w:r w:rsidRPr="00604833">
        <w:rPr>
          <w:rFonts w:ascii="Arial" w:eastAsia="Times New Roman" w:hAnsi="Arial" w:cs="Arial"/>
          <w:i/>
          <w:lang w:eastAsia="pt-BR"/>
        </w:rPr>
        <w:t>A Súmula 34 foi editada para racionalização do serviço, em hipóteses de baixo potencial ofensivo e em que não caiba a aplicação de sanções por ato de improbidade administrativa.</w:t>
      </w:r>
      <w:r>
        <w:rPr>
          <w:rFonts w:ascii="Arial" w:eastAsia="Times New Roman" w:hAnsi="Arial" w:cs="Arial"/>
          <w:i/>
          <w:lang w:eastAsia="pt-BR"/>
        </w:rPr>
        <w:t>”</w:t>
      </w:r>
    </w:p>
    <w:p w:rsidR="00ED3DF0" w:rsidRDefault="00ED3DF0" w:rsidP="00ED3DF0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A4291" w:rsidRPr="00616FAD" w:rsidRDefault="001A4291" w:rsidP="001A4291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16FAD">
        <w:rPr>
          <w:rFonts w:ascii="Arial" w:hAnsi="Arial" w:cs="Arial"/>
          <w:sz w:val="24"/>
          <w:szCs w:val="24"/>
        </w:rPr>
        <w:t>Com efeito, este órgão de execução tem o dever legal de racionalizar os procedimentos administrativos, provendo eficiência e proporcionalidade no trâmite dos feitos em curso nesta Promotoria de Justiça, visando concentrar esforços nas condutas que causam lesão à sociedade, à lei e aos princípios que regem a administração pública (artigo 37, caput, da Constituição da República, artigo 27, parágrafo único, inciso II, da Lei nº 8.625/93 c.c. o artigo 342, inciso XI, do Ato Normativo 675/2010 – PGJ/CGMP).</w:t>
      </w:r>
    </w:p>
    <w:p w:rsidR="001A4291" w:rsidRPr="00616FAD" w:rsidRDefault="001A4291" w:rsidP="001A4291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74B2" w:rsidRPr="007E5FC0" w:rsidRDefault="001B74B2" w:rsidP="001B74B2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5FC0">
        <w:rPr>
          <w:rFonts w:ascii="Arial" w:eastAsia="Times New Roman" w:hAnsi="Arial" w:cs="Arial"/>
          <w:sz w:val="24"/>
          <w:szCs w:val="24"/>
          <w:lang w:eastAsia="pt-BR"/>
        </w:rPr>
        <w:t>Diante destes fatos, não há motivos para a propositura de ação civil pública ou, ainda, para o prosseguimento deste procedimento.</w:t>
      </w:r>
    </w:p>
    <w:p w:rsidR="001B74B2" w:rsidRPr="007E5FC0" w:rsidRDefault="001B74B2" w:rsidP="00236D51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1B74B2" w:rsidRPr="007E5FC0" w:rsidRDefault="001B74B2" w:rsidP="001B74B2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E5FC0">
        <w:rPr>
          <w:rFonts w:ascii="Arial" w:eastAsia="Times New Roman" w:hAnsi="Arial" w:cs="Arial"/>
          <w:b/>
          <w:sz w:val="24"/>
          <w:szCs w:val="24"/>
          <w:lang w:eastAsia="pt-BR"/>
        </w:rPr>
        <w:t>3. Conclusão</w:t>
      </w:r>
    </w:p>
    <w:p w:rsidR="001B74B2" w:rsidRPr="007E5FC0" w:rsidRDefault="001B74B2" w:rsidP="001B74B2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74B2" w:rsidRPr="007E5FC0" w:rsidRDefault="001B74B2" w:rsidP="001B74B2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5FC0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Ante o exposto, não vislumbrando qualquer outra diligência cabível a ser realizada, promovo o </w:t>
      </w:r>
      <w:r w:rsidRPr="007E5FC0">
        <w:rPr>
          <w:rFonts w:ascii="Arial" w:eastAsia="Times New Roman" w:hAnsi="Arial" w:cs="Arial"/>
          <w:b/>
          <w:sz w:val="24"/>
          <w:szCs w:val="24"/>
          <w:lang w:eastAsia="pt-BR"/>
        </w:rPr>
        <w:t>ARQUIVAMENTO</w:t>
      </w:r>
      <w:r w:rsidRPr="007E5FC0">
        <w:rPr>
          <w:rFonts w:ascii="Arial" w:eastAsia="Times New Roman" w:hAnsi="Arial" w:cs="Arial"/>
          <w:sz w:val="24"/>
          <w:szCs w:val="24"/>
          <w:lang w:eastAsia="pt-BR"/>
        </w:rPr>
        <w:t xml:space="preserve"> do presente procedimento com fulcro no artigo 9º da Lei 7.347/85, no artigo 110, parágrafo 1º, da Lei Complementar Estadual nº 734/93 e no artigo 99 do Ato Normativo nº 484/06 - CPJ.</w:t>
      </w:r>
    </w:p>
    <w:p w:rsidR="001B74B2" w:rsidRPr="007E5FC0" w:rsidRDefault="001B74B2" w:rsidP="001B74B2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74B2" w:rsidRPr="007E5FC0" w:rsidRDefault="001B74B2" w:rsidP="001B74B2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5FC0">
        <w:rPr>
          <w:rFonts w:ascii="Arial" w:eastAsia="Times New Roman" w:hAnsi="Arial" w:cs="Arial"/>
          <w:sz w:val="24"/>
          <w:szCs w:val="24"/>
          <w:lang w:eastAsia="pt-BR"/>
        </w:rPr>
        <w:t>Por fim, determino a remessa deste inquérito ao Egrégio Conselho Superior do Ministério Público, em atenção ao disposto no parágrafo 1º do artigo 9º da Lei 7.347/85 e no artigo 100 do Ato Normativo nº 484/06 - CPJ.</w:t>
      </w:r>
    </w:p>
    <w:p w:rsidR="001B74B2" w:rsidRPr="007E5FC0" w:rsidRDefault="001B74B2" w:rsidP="001B74B2">
      <w:pPr>
        <w:suppressAutoHyphens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74B2" w:rsidRPr="007E5FC0" w:rsidRDefault="001B74B2" w:rsidP="001B74B2">
      <w:pPr>
        <w:pStyle w:val="PargrafodaLista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7B77" w:rsidRPr="007E5FC0" w:rsidRDefault="00D27B77" w:rsidP="0069766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E5FC0">
        <w:rPr>
          <w:rFonts w:ascii="Arial" w:hAnsi="Arial" w:cs="Arial"/>
          <w:sz w:val="24"/>
          <w:szCs w:val="24"/>
        </w:rPr>
        <w:t xml:space="preserve">Eldorado, </w:t>
      </w:r>
      <w:r w:rsidR="00ED3DF0">
        <w:rPr>
          <w:rFonts w:ascii="Arial" w:hAnsi="Arial" w:cs="Arial"/>
          <w:sz w:val="24"/>
          <w:szCs w:val="24"/>
        </w:rPr>
        <w:t>02</w:t>
      </w:r>
      <w:r w:rsidRPr="007E5FC0">
        <w:rPr>
          <w:rFonts w:ascii="Arial" w:hAnsi="Arial" w:cs="Arial"/>
          <w:sz w:val="24"/>
          <w:szCs w:val="24"/>
        </w:rPr>
        <w:t xml:space="preserve"> de</w:t>
      </w:r>
      <w:r w:rsidR="00814E51" w:rsidRPr="007E5FC0">
        <w:rPr>
          <w:rFonts w:ascii="Arial" w:hAnsi="Arial" w:cs="Arial"/>
          <w:sz w:val="24"/>
          <w:szCs w:val="24"/>
        </w:rPr>
        <w:t xml:space="preserve"> </w:t>
      </w:r>
      <w:r w:rsidR="00ED3DF0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="00830D0D" w:rsidRPr="007E5FC0">
        <w:rPr>
          <w:rFonts w:ascii="Arial" w:hAnsi="Arial" w:cs="Arial"/>
          <w:sz w:val="24"/>
          <w:szCs w:val="24"/>
        </w:rPr>
        <w:t xml:space="preserve"> </w:t>
      </w:r>
      <w:r w:rsidRPr="007E5FC0">
        <w:rPr>
          <w:rFonts w:ascii="Arial" w:hAnsi="Arial" w:cs="Arial"/>
          <w:sz w:val="24"/>
          <w:szCs w:val="24"/>
        </w:rPr>
        <w:t>de 2015</w:t>
      </w:r>
      <w:r w:rsidR="00DE1124">
        <w:rPr>
          <w:rFonts w:ascii="Arial" w:hAnsi="Arial" w:cs="Arial"/>
          <w:sz w:val="24"/>
          <w:szCs w:val="24"/>
        </w:rPr>
        <w:t>.</w:t>
      </w:r>
    </w:p>
    <w:p w:rsidR="00D27B77" w:rsidRPr="007E5FC0" w:rsidRDefault="00D27B77" w:rsidP="0069766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27B77" w:rsidRPr="007E5FC0" w:rsidRDefault="00D27B77" w:rsidP="0069766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27B77" w:rsidRPr="007E5FC0" w:rsidRDefault="00D27B77" w:rsidP="006976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5FC0">
        <w:rPr>
          <w:rFonts w:ascii="Arial" w:hAnsi="Arial" w:cs="Arial"/>
          <w:b/>
          <w:sz w:val="24"/>
          <w:szCs w:val="24"/>
        </w:rPr>
        <w:t>RONALDO PEREIRA MUNIZ</w:t>
      </w:r>
    </w:p>
    <w:p w:rsidR="00D27B77" w:rsidRPr="007E5FC0" w:rsidRDefault="00D27B77" w:rsidP="0069766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E5FC0">
        <w:rPr>
          <w:rFonts w:ascii="Arial" w:hAnsi="Arial" w:cs="Arial"/>
          <w:sz w:val="24"/>
          <w:szCs w:val="24"/>
        </w:rPr>
        <w:t>Promotor de Justiça</w:t>
      </w:r>
    </w:p>
    <w:sectPr w:rsidR="00D27B77" w:rsidRPr="007E5FC0" w:rsidSect="00D36B12">
      <w:footerReference w:type="default" r:id="rId8"/>
      <w:pgSz w:w="11906" w:h="16838" w:code="9"/>
      <w:pgMar w:top="2269" w:right="991" w:bottom="993" w:left="226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FC" w:rsidRDefault="007871FC" w:rsidP="001921D0">
      <w:pPr>
        <w:spacing w:after="0" w:line="240" w:lineRule="auto"/>
      </w:pPr>
      <w:r>
        <w:separator/>
      </w:r>
    </w:p>
  </w:endnote>
  <w:endnote w:type="continuationSeparator" w:id="0">
    <w:p w:rsidR="007871FC" w:rsidRDefault="007871FC" w:rsidP="0019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151534"/>
      <w:docPartObj>
        <w:docPartGallery w:val="Page Numbers (Bottom of Page)"/>
        <w:docPartUnique/>
      </w:docPartObj>
    </w:sdtPr>
    <w:sdtEndPr/>
    <w:sdtContent>
      <w:p w:rsidR="00D20700" w:rsidRDefault="00D2070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C9B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FC" w:rsidRDefault="007871FC" w:rsidP="001921D0">
      <w:pPr>
        <w:spacing w:after="0" w:line="240" w:lineRule="auto"/>
      </w:pPr>
      <w:r>
        <w:separator/>
      </w:r>
    </w:p>
  </w:footnote>
  <w:footnote w:type="continuationSeparator" w:id="0">
    <w:p w:rsidR="007871FC" w:rsidRDefault="007871FC" w:rsidP="0019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379A"/>
    <w:multiLevelType w:val="hybridMultilevel"/>
    <w:tmpl w:val="8AAE9FB2"/>
    <w:lvl w:ilvl="0" w:tplc="0AF49E9E">
      <w:start w:val="1"/>
      <w:numFmt w:val="decimal"/>
      <w:lvlText w:val="%1."/>
      <w:lvlJc w:val="left"/>
      <w:pPr>
        <w:ind w:left="6375" w:hanging="3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93"/>
    <w:rsid w:val="00010FE0"/>
    <w:rsid w:val="00012973"/>
    <w:rsid w:val="000560F6"/>
    <w:rsid w:val="00092EFF"/>
    <w:rsid w:val="000B1985"/>
    <w:rsid w:val="000C1911"/>
    <w:rsid w:val="000C1E81"/>
    <w:rsid w:val="000E4324"/>
    <w:rsid w:val="000E7362"/>
    <w:rsid w:val="001078EA"/>
    <w:rsid w:val="00153E92"/>
    <w:rsid w:val="00170EBC"/>
    <w:rsid w:val="00176B57"/>
    <w:rsid w:val="001921D0"/>
    <w:rsid w:val="001A4291"/>
    <w:rsid w:val="001B10DC"/>
    <w:rsid w:val="001B5B0F"/>
    <w:rsid w:val="001B6D7B"/>
    <w:rsid w:val="001B74B2"/>
    <w:rsid w:val="001F6FEF"/>
    <w:rsid w:val="002001A1"/>
    <w:rsid w:val="00206CD0"/>
    <w:rsid w:val="00221E8E"/>
    <w:rsid w:val="00230836"/>
    <w:rsid w:val="00232180"/>
    <w:rsid w:val="00236D51"/>
    <w:rsid w:val="00254A40"/>
    <w:rsid w:val="0025750F"/>
    <w:rsid w:val="00261AFC"/>
    <w:rsid w:val="002C2F5B"/>
    <w:rsid w:val="002C5A20"/>
    <w:rsid w:val="002D39B3"/>
    <w:rsid w:val="00302409"/>
    <w:rsid w:val="0031513E"/>
    <w:rsid w:val="00345C9B"/>
    <w:rsid w:val="00374D62"/>
    <w:rsid w:val="00385EED"/>
    <w:rsid w:val="00405CE0"/>
    <w:rsid w:val="00411B5F"/>
    <w:rsid w:val="00437C76"/>
    <w:rsid w:val="00443E3A"/>
    <w:rsid w:val="00453298"/>
    <w:rsid w:val="004553CE"/>
    <w:rsid w:val="00463647"/>
    <w:rsid w:val="004B78C6"/>
    <w:rsid w:val="004E2480"/>
    <w:rsid w:val="004E7B6E"/>
    <w:rsid w:val="004F31B9"/>
    <w:rsid w:val="00511C24"/>
    <w:rsid w:val="005407B7"/>
    <w:rsid w:val="00556CA7"/>
    <w:rsid w:val="005602B3"/>
    <w:rsid w:val="00564BBC"/>
    <w:rsid w:val="0059110C"/>
    <w:rsid w:val="005970FB"/>
    <w:rsid w:val="005B6B4B"/>
    <w:rsid w:val="005C72BA"/>
    <w:rsid w:val="005D312F"/>
    <w:rsid w:val="005E3BE1"/>
    <w:rsid w:val="005F0F71"/>
    <w:rsid w:val="005F2168"/>
    <w:rsid w:val="006203E0"/>
    <w:rsid w:val="00623517"/>
    <w:rsid w:val="0064264A"/>
    <w:rsid w:val="00657230"/>
    <w:rsid w:val="006776E4"/>
    <w:rsid w:val="00697666"/>
    <w:rsid w:val="006B5FE7"/>
    <w:rsid w:val="006D445E"/>
    <w:rsid w:val="006E725E"/>
    <w:rsid w:val="00706C20"/>
    <w:rsid w:val="00717008"/>
    <w:rsid w:val="007201AF"/>
    <w:rsid w:val="0073638A"/>
    <w:rsid w:val="00753EA7"/>
    <w:rsid w:val="00771C6E"/>
    <w:rsid w:val="007871FC"/>
    <w:rsid w:val="007E5FC0"/>
    <w:rsid w:val="007E6661"/>
    <w:rsid w:val="007F40FF"/>
    <w:rsid w:val="00802C76"/>
    <w:rsid w:val="00811CFA"/>
    <w:rsid w:val="00814E51"/>
    <w:rsid w:val="00822DBC"/>
    <w:rsid w:val="00830D0D"/>
    <w:rsid w:val="008318D1"/>
    <w:rsid w:val="00856BBF"/>
    <w:rsid w:val="00862050"/>
    <w:rsid w:val="00885B39"/>
    <w:rsid w:val="008900D2"/>
    <w:rsid w:val="008A67C6"/>
    <w:rsid w:val="008A6B06"/>
    <w:rsid w:val="009016E9"/>
    <w:rsid w:val="0090242E"/>
    <w:rsid w:val="00907892"/>
    <w:rsid w:val="00912A62"/>
    <w:rsid w:val="00986617"/>
    <w:rsid w:val="00987E3E"/>
    <w:rsid w:val="009967CF"/>
    <w:rsid w:val="009C5787"/>
    <w:rsid w:val="009E4BFE"/>
    <w:rsid w:val="00A33833"/>
    <w:rsid w:val="00A52E59"/>
    <w:rsid w:val="00A6779E"/>
    <w:rsid w:val="00A74559"/>
    <w:rsid w:val="00AA264A"/>
    <w:rsid w:val="00AB2222"/>
    <w:rsid w:val="00AC0FCA"/>
    <w:rsid w:val="00AC7389"/>
    <w:rsid w:val="00AD7E5B"/>
    <w:rsid w:val="00AE3C36"/>
    <w:rsid w:val="00B00021"/>
    <w:rsid w:val="00B308FC"/>
    <w:rsid w:val="00B624E7"/>
    <w:rsid w:val="00B878E9"/>
    <w:rsid w:val="00BA0875"/>
    <w:rsid w:val="00BA34D7"/>
    <w:rsid w:val="00BF7620"/>
    <w:rsid w:val="00C10B9E"/>
    <w:rsid w:val="00C451F4"/>
    <w:rsid w:val="00C46860"/>
    <w:rsid w:val="00C93BA4"/>
    <w:rsid w:val="00C93D64"/>
    <w:rsid w:val="00CA4BDE"/>
    <w:rsid w:val="00CA532F"/>
    <w:rsid w:val="00CB5DA4"/>
    <w:rsid w:val="00CC2F61"/>
    <w:rsid w:val="00CD3AFA"/>
    <w:rsid w:val="00CD5228"/>
    <w:rsid w:val="00CE6276"/>
    <w:rsid w:val="00CF6EA2"/>
    <w:rsid w:val="00CF7685"/>
    <w:rsid w:val="00D20700"/>
    <w:rsid w:val="00D25BA1"/>
    <w:rsid w:val="00D26720"/>
    <w:rsid w:val="00D27B77"/>
    <w:rsid w:val="00D36B12"/>
    <w:rsid w:val="00D46362"/>
    <w:rsid w:val="00D7288C"/>
    <w:rsid w:val="00D779E9"/>
    <w:rsid w:val="00D93D0E"/>
    <w:rsid w:val="00DA6903"/>
    <w:rsid w:val="00DB2A9B"/>
    <w:rsid w:val="00DC56B3"/>
    <w:rsid w:val="00DD6F93"/>
    <w:rsid w:val="00DE1124"/>
    <w:rsid w:val="00DE2E76"/>
    <w:rsid w:val="00DF20AE"/>
    <w:rsid w:val="00E4166C"/>
    <w:rsid w:val="00E52B5F"/>
    <w:rsid w:val="00EA3449"/>
    <w:rsid w:val="00EA4C8C"/>
    <w:rsid w:val="00EA501D"/>
    <w:rsid w:val="00EC5546"/>
    <w:rsid w:val="00EC6E98"/>
    <w:rsid w:val="00ED3DF0"/>
    <w:rsid w:val="00EE1654"/>
    <w:rsid w:val="00EF57A8"/>
    <w:rsid w:val="00F0177B"/>
    <w:rsid w:val="00F35994"/>
    <w:rsid w:val="00F70C61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CFBEE0-C146-478E-996B-C0D4988C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21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21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21D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D3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B0F"/>
  </w:style>
  <w:style w:type="paragraph" w:styleId="Rodap">
    <w:name w:val="footer"/>
    <w:basedOn w:val="Normal"/>
    <w:link w:val="RodapChar"/>
    <w:uiPriority w:val="99"/>
    <w:unhideWhenUsed/>
    <w:rsid w:val="001B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B0F"/>
  </w:style>
  <w:style w:type="paragraph" w:styleId="Textodebalo">
    <w:name w:val="Balloon Text"/>
    <w:basedOn w:val="Normal"/>
    <w:link w:val="TextodebaloChar"/>
    <w:uiPriority w:val="99"/>
    <w:semiHidden/>
    <w:unhideWhenUsed/>
    <w:rsid w:val="00EF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7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5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97F9-5D6C-4CFF-A0FF-596AAF58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1481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Souza</dc:creator>
  <cp:lastModifiedBy>Ronaldo Pereira Muniz</cp:lastModifiedBy>
  <cp:revision>2</cp:revision>
  <cp:lastPrinted>2015-12-01T18:55:00Z</cp:lastPrinted>
  <dcterms:created xsi:type="dcterms:W3CDTF">2015-12-01T18:56:00Z</dcterms:created>
  <dcterms:modified xsi:type="dcterms:W3CDTF">2015-12-01T18:56:00Z</dcterms:modified>
</cp:coreProperties>
</file>