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0B" w:rsidRDefault="00EB1985" w:rsidP="00EB1985">
      <w:pPr>
        <w:tabs>
          <w:tab w:val="left" w:pos="1380"/>
        </w:tabs>
        <w:spacing w:line="276" w:lineRule="auto"/>
        <w:jc w:val="both"/>
        <w:rPr>
          <w:rFonts w:ascii="Calibri" w:eastAsia="Calibri" w:hAnsi="Calibri"/>
          <w:b/>
          <w:szCs w:val="28"/>
          <w:lang w:eastAsia="en-US"/>
        </w:rPr>
      </w:pPr>
      <w:bookmarkStart w:id="0" w:name="_Hlk535844464"/>
      <w:r>
        <w:rPr>
          <w:rFonts w:ascii="Calibri" w:eastAsia="Calibri" w:hAnsi="Calibri"/>
          <w:b/>
          <w:szCs w:val="28"/>
          <w:lang w:eastAsia="en-US"/>
        </w:rPr>
        <w:tab/>
      </w:r>
    </w:p>
    <w:p w:rsidR="009E3972" w:rsidRPr="009E3972" w:rsidRDefault="009E3972" w:rsidP="009E3972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9E3972">
        <w:rPr>
          <w:rFonts w:ascii="Calibri" w:eastAsia="Calibri" w:hAnsi="Calibri"/>
          <w:b/>
          <w:lang w:eastAsia="en-US"/>
        </w:rPr>
        <w:t>EGRÉGIO CONSELHO SUPERIOR DO MINISTÉRIO PÚBLICO DO ESTADO DE SÃO PAULO</w:t>
      </w:r>
    </w:p>
    <w:p w:rsidR="009E3972" w:rsidRPr="009E3972" w:rsidRDefault="009E3972" w:rsidP="009E3972">
      <w:pPr>
        <w:spacing w:line="276" w:lineRule="auto"/>
        <w:ind w:firstLine="1701"/>
        <w:rPr>
          <w:rFonts w:ascii="Calibri" w:eastAsia="Calibri" w:hAnsi="Calibri"/>
          <w:b/>
          <w:lang w:eastAsia="en-US"/>
        </w:rPr>
      </w:pPr>
    </w:p>
    <w:p w:rsidR="009E3972" w:rsidRPr="009E3972" w:rsidRDefault="009E3972" w:rsidP="009E3972">
      <w:pPr>
        <w:spacing w:line="276" w:lineRule="auto"/>
        <w:ind w:firstLine="1701"/>
        <w:rPr>
          <w:rFonts w:ascii="Calibri" w:eastAsia="Calibri" w:hAnsi="Calibri"/>
          <w:b/>
          <w:lang w:eastAsia="en-US"/>
        </w:rPr>
      </w:pPr>
    </w:p>
    <w:p w:rsidR="00DE5C24" w:rsidRPr="00DE5C24" w:rsidRDefault="00DE5C24" w:rsidP="00DE5C24">
      <w:pPr>
        <w:spacing w:line="276" w:lineRule="auto"/>
        <w:rPr>
          <w:rFonts w:ascii="Calibri" w:eastAsia="Calibri" w:hAnsi="Calibri"/>
          <w:b/>
          <w:lang w:eastAsia="en-US"/>
        </w:rPr>
      </w:pPr>
      <w:r w:rsidRPr="00DE5C24">
        <w:rPr>
          <w:rFonts w:ascii="Calibri" w:eastAsia="Calibri" w:hAnsi="Calibri"/>
          <w:b/>
          <w:lang w:eastAsia="en-US"/>
        </w:rPr>
        <w:t>Inquérito Civil n.º 14.</w:t>
      </w:r>
      <w:r w:rsidR="001B0BCA">
        <w:rPr>
          <w:rFonts w:ascii="Calibri" w:eastAsia="Calibri" w:hAnsi="Calibri"/>
          <w:b/>
          <w:lang w:eastAsia="en-US"/>
        </w:rPr>
        <w:t>0482</w:t>
      </w:r>
      <w:r w:rsidRPr="00DE5C24">
        <w:rPr>
          <w:rFonts w:ascii="Calibri" w:eastAsia="Calibri" w:hAnsi="Calibri"/>
          <w:b/>
          <w:lang w:eastAsia="en-US"/>
        </w:rPr>
        <w:t>.0000</w:t>
      </w:r>
      <w:r w:rsidR="001B0BCA">
        <w:rPr>
          <w:rFonts w:ascii="Calibri" w:eastAsia="Calibri" w:hAnsi="Calibri"/>
          <w:b/>
          <w:lang w:eastAsia="en-US"/>
        </w:rPr>
        <w:t>231</w:t>
      </w:r>
      <w:r w:rsidRPr="00DE5C24">
        <w:rPr>
          <w:rFonts w:ascii="Calibri" w:eastAsia="Calibri" w:hAnsi="Calibri"/>
          <w:b/>
          <w:lang w:eastAsia="en-US"/>
        </w:rPr>
        <w:t>/201</w:t>
      </w:r>
      <w:r w:rsidR="001B0BCA">
        <w:rPr>
          <w:rFonts w:ascii="Calibri" w:eastAsia="Calibri" w:hAnsi="Calibri"/>
          <w:b/>
          <w:lang w:eastAsia="en-US"/>
        </w:rPr>
        <w:t>4</w:t>
      </w:r>
      <w:r w:rsidRPr="00DE5C24">
        <w:rPr>
          <w:rFonts w:ascii="Calibri" w:eastAsia="Calibri" w:hAnsi="Calibri"/>
          <w:b/>
          <w:lang w:eastAsia="en-US"/>
        </w:rPr>
        <w:t>-</w:t>
      </w:r>
      <w:r w:rsidR="001B0BCA">
        <w:rPr>
          <w:rFonts w:ascii="Calibri" w:eastAsia="Calibri" w:hAnsi="Calibri"/>
          <w:b/>
          <w:lang w:eastAsia="en-US"/>
        </w:rPr>
        <w:t>1</w:t>
      </w:r>
      <w:r w:rsidRPr="00DE5C24">
        <w:rPr>
          <w:rFonts w:ascii="Calibri" w:eastAsia="Calibri" w:hAnsi="Calibri"/>
          <w:b/>
          <w:lang w:eastAsia="en-US"/>
        </w:rPr>
        <w:t xml:space="preserve"> </w:t>
      </w:r>
      <w:r w:rsidRPr="00DE5C24">
        <w:rPr>
          <w:rFonts w:ascii="Calibri" w:eastAsia="Calibri" w:hAnsi="Calibri"/>
          <w:lang w:eastAsia="en-US"/>
        </w:rPr>
        <w:t>– GAEMA Cabeceiras</w:t>
      </w:r>
    </w:p>
    <w:p w:rsidR="009E3972" w:rsidRDefault="009E3972" w:rsidP="009E3972">
      <w:pPr>
        <w:spacing w:line="276" w:lineRule="auto"/>
        <w:ind w:firstLine="1701"/>
        <w:rPr>
          <w:rFonts w:ascii="Calibri" w:eastAsia="Calibri" w:hAnsi="Calibri"/>
          <w:b/>
          <w:lang w:eastAsia="en-US"/>
        </w:rPr>
      </w:pPr>
    </w:p>
    <w:p w:rsidR="00210067" w:rsidRDefault="00210067" w:rsidP="009E3972">
      <w:pPr>
        <w:spacing w:line="276" w:lineRule="auto"/>
        <w:ind w:firstLine="1701"/>
        <w:rPr>
          <w:rFonts w:ascii="Calibri" w:eastAsia="Calibri" w:hAnsi="Calibri"/>
          <w:b/>
          <w:lang w:eastAsia="en-US"/>
        </w:rPr>
      </w:pPr>
    </w:p>
    <w:p w:rsidR="00767C65" w:rsidRPr="009E3972" w:rsidRDefault="00767C65" w:rsidP="009E3972">
      <w:pPr>
        <w:spacing w:line="276" w:lineRule="auto"/>
        <w:ind w:firstLine="1701"/>
        <w:rPr>
          <w:rFonts w:ascii="Calibri" w:eastAsia="Calibri" w:hAnsi="Calibri"/>
          <w:b/>
          <w:lang w:eastAsia="en-US"/>
        </w:rPr>
      </w:pPr>
    </w:p>
    <w:p w:rsidR="009E3972" w:rsidRPr="009E3972" w:rsidRDefault="009E3972" w:rsidP="009E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9E3972">
        <w:rPr>
          <w:rFonts w:asciiTheme="minorHAnsi" w:hAnsiTheme="minorHAnsi" w:cstheme="minorHAnsi"/>
          <w:b/>
          <w:szCs w:val="24"/>
          <w:highlight w:val="lightGray"/>
          <w:u w:val="single"/>
        </w:rPr>
        <w:t>PROMOÇÃO DE ARQUIVAMENTO</w:t>
      </w:r>
    </w:p>
    <w:p w:rsidR="009E3972" w:rsidRDefault="009E3972" w:rsidP="009E3972">
      <w:pPr>
        <w:jc w:val="center"/>
        <w:rPr>
          <w:rFonts w:asciiTheme="minorHAnsi" w:hAnsiTheme="minorHAnsi" w:cstheme="minorHAnsi"/>
          <w:b/>
          <w:szCs w:val="24"/>
        </w:rPr>
      </w:pPr>
    </w:p>
    <w:p w:rsidR="00210067" w:rsidRDefault="00210067" w:rsidP="009E3972">
      <w:pPr>
        <w:jc w:val="center"/>
        <w:rPr>
          <w:rFonts w:asciiTheme="minorHAnsi" w:hAnsiTheme="minorHAnsi" w:cstheme="minorHAnsi"/>
          <w:b/>
          <w:szCs w:val="24"/>
        </w:rPr>
      </w:pPr>
    </w:p>
    <w:p w:rsidR="00004994" w:rsidRDefault="00004994" w:rsidP="009E3972">
      <w:pPr>
        <w:jc w:val="center"/>
        <w:rPr>
          <w:rFonts w:asciiTheme="minorHAnsi" w:hAnsiTheme="minorHAnsi" w:cstheme="minorHAnsi"/>
          <w:b/>
          <w:szCs w:val="24"/>
        </w:rPr>
      </w:pPr>
    </w:p>
    <w:p w:rsidR="009E3972" w:rsidRPr="009E3972" w:rsidRDefault="009E3972" w:rsidP="009E3972">
      <w:pPr>
        <w:spacing w:line="276" w:lineRule="auto"/>
        <w:ind w:firstLine="1701"/>
        <w:rPr>
          <w:rFonts w:ascii="Calibri" w:eastAsia="Calibri" w:hAnsi="Calibri"/>
          <w:b/>
          <w:lang w:eastAsia="en-US"/>
        </w:rPr>
      </w:pPr>
    </w:p>
    <w:p w:rsidR="009E3972" w:rsidRPr="009E3972" w:rsidRDefault="009E3972" w:rsidP="009E3972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9E3972">
        <w:rPr>
          <w:rFonts w:ascii="Calibri" w:eastAsia="Calibri" w:hAnsi="Calibri"/>
          <w:b/>
          <w:lang w:eastAsia="en-US"/>
        </w:rPr>
        <w:t>EGRÉGIO CONSELHO,</w:t>
      </w:r>
    </w:p>
    <w:p w:rsidR="009E3972" w:rsidRPr="009E3972" w:rsidRDefault="009E3972" w:rsidP="009E3972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9E3972">
        <w:rPr>
          <w:rFonts w:ascii="Calibri" w:eastAsia="Calibri" w:hAnsi="Calibri"/>
          <w:b/>
          <w:lang w:eastAsia="en-US"/>
        </w:rPr>
        <w:t>EXMO. SR. PRESIDENTE,</w:t>
      </w:r>
    </w:p>
    <w:p w:rsidR="009E3972" w:rsidRPr="009E3972" w:rsidRDefault="009E3972" w:rsidP="009E3972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9E3972">
        <w:rPr>
          <w:rFonts w:ascii="Calibri" w:eastAsia="Calibri" w:hAnsi="Calibri"/>
          <w:b/>
          <w:lang w:eastAsia="en-US"/>
        </w:rPr>
        <w:t>DOUTOS CONSELHEIROS,</w:t>
      </w:r>
    </w:p>
    <w:p w:rsidR="009E3972" w:rsidRDefault="009E3972" w:rsidP="009E3972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004994" w:rsidRDefault="00004994" w:rsidP="009E3972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004994" w:rsidRDefault="00004994" w:rsidP="009E3972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C206EB" w:rsidRDefault="00C206EB" w:rsidP="009E3972">
      <w:pPr>
        <w:spacing w:line="276" w:lineRule="auto"/>
        <w:ind w:firstLine="1701"/>
        <w:rPr>
          <w:rFonts w:ascii="Calibri" w:eastAsia="Calibri" w:hAnsi="Calibri"/>
          <w:lang w:eastAsia="en-US"/>
        </w:rPr>
      </w:pPr>
    </w:p>
    <w:p w:rsidR="001B0BCA" w:rsidRDefault="001B0BCA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1B0BCA">
        <w:rPr>
          <w:rFonts w:ascii="Calibri" w:eastAsia="Calibri" w:hAnsi="Calibri"/>
          <w:lang w:eastAsia="en-US"/>
        </w:rPr>
        <w:t xml:space="preserve">Trata-se de inquérito civil instaurado em 22 de abril de 2014 pelo </w:t>
      </w:r>
      <w:r w:rsidR="00B06822">
        <w:rPr>
          <w:rFonts w:ascii="Calibri" w:eastAsia="Calibri" w:hAnsi="Calibri"/>
          <w:lang w:eastAsia="en-US"/>
        </w:rPr>
        <w:t xml:space="preserve">d. </w:t>
      </w:r>
      <w:r w:rsidRPr="001B0BCA">
        <w:rPr>
          <w:rFonts w:ascii="Calibri" w:eastAsia="Calibri" w:hAnsi="Calibri"/>
          <w:lang w:eastAsia="en-US"/>
        </w:rPr>
        <w:t>1º Promotor de Justiça de Meio Ambiente da Capital com vistas a investigar a regularidade na gestão dos sistemas de produção de água para consumo humano para a Região Metropolitana de São Paulo (RMSP), bem como o cumprimento das obrigações pela outorgada SABESP constantes da Portaria DAEE nº 1213/2004</w:t>
      </w:r>
      <w:r w:rsidR="004A1BA1">
        <w:rPr>
          <w:rFonts w:ascii="Calibri" w:eastAsia="Calibri" w:hAnsi="Calibri"/>
          <w:lang w:eastAsia="en-US"/>
        </w:rPr>
        <w:t xml:space="preserve">. </w:t>
      </w:r>
      <w:r w:rsidR="00AC0C29">
        <w:rPr>
          <w:rFonts w:ascii="Calibri" w:eastAsia="Calibri" w:hAnsi="Calibri"/>
          <w:lang w:eastAsia="en-US"/>
        </w:rPr>
        <w:t xml:space="preserve">A investigação objetivou ainda averiguar a </w:t>
      </w:r>
      <w:r w:rsidRPr="001B0BCA">
        <w:rPr>
          <w:rFonts w:ascii="Calibri" w:eastAsia="Calibri" w:hAnsi="Calibri"/>
          <w:lang w:eastAsia="en-US"/>
        </w:rPr>
        <w:t>regularidade na distribuição de água potável e inadequação e/ou omissão de fiscalização pelos órgãos competentes.</w:t>
      </w:r>
      <w:r w:rsidR="00B06822">
        <w:rPr>
          <w:rFonts w:ascii="Calibri" w:eastAsia="Calibri" w:hAnsi="Calibri"/>
          <w:lang w:eastAsia="en-US"/>
        </w:rPr>
        <w:t xml:space="preserve"> A crise hídrica então em curso constou como justificativa para a instauração do presente procedimento em sua portaria, fl. 01-A</w:t>
      </w:r>
      <w:r w:rsidR="0065603B">
        <w:rPr>
          <w:rFonts w:ascii="Calibri" w:eastAsia="Calibri" w:hAnsi="Calibri"/>
          <w:lang w:eastAsia="en-US"/>
        </w:rPr>
        <w:t>.</w:t>
      </w:r>
    </w:p>
    <w:p w:rsidR="001B0BCA" w:rsidRDefault="001B0BCA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890EEE" w:rsidRDefault="008848CA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8848CA">
        <w:rPr>
          <w:rFonts w:ascii="Calibri" w:eastAsia="Calibri" w:hAnsi="Calibri"/>
          <w:lang w:eastAsia="en-US"/>
        </w:rPr>
        <w:t>Durante a tramitação do feito perante a</w:t>
      </w:r>
      <w:r w:rsidR="00B06822">
        <w:rPr>
          <w:rFonts w:ascii="Calibri" w:eastAsia="Calibri" w:hAnsi="Calibri"/>
          <w:lang w:eastAsia="en-US"/>
        </w:rPr>
        <w:t xml:space="preserve"> E.</w:t>
      </w:r>
      <w:r w:rsidRPr="008848CA">
        <w:rPr>
          <w:rFonts w:ascii="Calibri" w:eastAsia="Calibri" w:hAnsi="Calibri"/>
          <w:lang w:eastAsia="en-US"/>
        </w:rPr>
        <w:t xml:space="preserve"> Promotoria de Justiça de Meio Ambiente da Capital, foram requisitadas informações </w:t>
      </w:r>
      <w:r w:rsidR="00AC0C29">
        <w:rPr>
          <w:rFonts w:ascii="Calibri" w:eastAsia="Calibri" w:hAnsi="Calibri"/>
          <w:lang w:eastAsia="en-US"/>
        </w:rPr>
        <w:t xml:space="preserve">a diversos órgãos e entidades </w:t>
      </w:r>
      <w:r w:rsidRPr="008848CA">
        <w:rPr>
          <w:rFonts w:ascii="Calibri" w:eastAsia="Calibri" w:hAnsi="Calibri"/>
          <w:lang w:eastAsia="en-US"/>
        </w:rPr>
        <w:t xml:space="preserve">acerca da outorga do Sistema Cantareira, bem como informações acerca da utilização das duas cotas da reserva técnica e qualidade desta água. </w:t>
      </w:r>
    </w:p>
    <w:p w:rsidR="00890EEE" w:rsidRDefault="00890EEE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890EEE" w:rsidRDefault="00890EEE" w:rsidP="00890EEE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Também foram acostadas representações às fls. 70/74, uma das quais tratava dos mesmos fatos atinentes a esta investigação, sendo que a outra, qual seja, o despejo “in natura” no leito de determinados rios, já era objeto de ação civil pública (fls. 70/74 e 175). </w:t>
      </w:r>
    </w:p>
    <w:p w:rsidR="00890EEE" w:rsidRDefault="00890EEE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D457A" w:rsidRDefault="00890EEE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Diante das requisições da Promotoria</w:t>
      </w:r>
      <w:r w:rsidR="00CE6ED6">
        <w:rPr>
          <w:rFonts w:ascii="Calibri" w:eastAsia="Calibri" w:hAnsi="Calibri"/>
          <w:lang w:eastAsia="en-US"/>
        </w:rPr>
        <w:t xml:space="preserve"> na qual tramitava a investigação</w:t>
      </w:r>
      <w:r>
        <w:rPr>
          <w:rFonts w:ascii="Calibri" w:eastAsia="Calibri" w:hAnsi="Calibri"/>
          <w:lang w:eastAsia="en-US"/>
        </w:rPr>
        <w:t>, foram</w:t>
      </w:r>
      <w:r w:rsidR="008848CA" w:rsidRPr="008848CA">
        <w:rPr>
          <w:rFonts w:ascii="Calibri" w:eastAsia="Calibri" w:hAnsi="Calibri"/>
          <w:lang w:eastAsia="en-US"/>
        </w:rPr>
        <w:t xml:space="preserve"> prestadas</w:t>
      </w:r>
      <w:r>
        <w:rPr>
          <w:rFonts w:ascii="Calibri" w:eastAsia="Calibri" w:hAnsi="Calibri"/>
          <w:lang w:eastAsia="en-US"/>
        </w:rPr>
        <w:t xml:space="preserve"> informações pela CETESB (</w:t>
      </w:r>
      <w:r w:rsidR="008848CA">
        <w:rPr>
          <w:rFonts w:ascii="Calibri" w:eastAsia="Calibri" w:hAnsi="Calibri"/>
          <w:lang w:eastAsia="en-US"/>
        </w:rPr>
        <w:t>fls. 77/</w:t>
      </w:r>
      <w:r w:rsidR="000E259C">
        <w:rPr>
          <w:rFonts w:ascii="Calibri" w:eastAsia="Calibri" w:hAnsi="Calibri"/>
          <w:lang w:eastAsia="en-US"/>
        </w:rPr>
        <w:t>83</w:t>
      </w:r>
      <w:r>
        <w:rPr>
          <w:rFonts w:ascii="Calibri" w:eastAsia="Calibri" w:hAnsi="Calibri"/>
          <w:lang w:eastAsia="en-US"/>
        </w:rPr>
        <w:t>), DAEE</w:t>
      </w:r>
      <w:r w:rsidR="00972569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(fls. </w:t>
      </w:r>
      <w:r w:rsidR="00972569">
        <w:rPr>
          <w:rFonts w:ascii="Calibri" w:eastAsia="Calibri" w:hAnsi="Calibri"/>
          <w:lang w:eastAsia="en-US"/>
        </w:rPr>
        <w:t>84/87</w:t>
      </w:r>
      <w:r>
        <w:rPr>
          <w:rFonts w:ascii="Calibri" w:eastAsia="Calibri" w:hAnsi="Calibri"/>
          <w:lang w:eastAsia="en-US"/>
        </w:rPr>
        <w:t xml:space="preserve">), ARSESP (fls. </w:t>
      </w:r>
      <w:r w:rsidR="00972569">
        <w:rPr>
          <w:rFonts w:ascii="Calibri" w:eastAsia="Calibri" w:hAnsi="Calibri"/>
          <w:lang w:eastAsia="en-US"/>
        </w:rPr>
        <w:t>88/171</w:t>
      </w:r>
      <w:r>
        <w:rPr>
          <w:rFonts w:ascii="Calibri" w:eastAsia="Calibri" w:hAnsi="Calibri"/>
          <w:lang w:eastAsia="en-US"/>
        </w:rPr>
        <w:t xml:space="preserve">), COVISA – Coordenadoria de Vigilância em Saúde da Secretaria Municipal da Saúde de São Paulo (fls. 184/193) e SABESP (fls. 200/230). </w:t>
      </w:r>
      <w:r w:rsidR="0090257C">
        <w:rPr>
          <w:rFonts w:ascii="Calibri" w:eastAsia="Calibri" w:hAnsi="Calibri"/>
          <w:lang w:eastAsia="en-US"/>
        </w:rPr>
        <w:t>F</w:t>
      </w:r>
      <w:r w:rsidR="008848CA" w:rsidRPr="008848CA">
        <w:rPr>
          <w:rFonts w:ascii="Calibri" w:eastAsia="Calibri" w:hAnsi="Calibri"/>
          <w:lang w:eastAsia="en-US"/>
        </w:rPr>
        <w:t>oram colhidas declarações</w:t>
      </w:r>
      <w:r w:rsidR="0090257C">
        <w:rPr>
          <w:rFonts w:ascii="Calibri" w:eastAsia="Calibri" w:hAnsi="Calibri"/>
          <w:lang w:eastAsia="en-US"/>
        </w:rPr>
        <w:t>,</w:t>
      </w:r>
      <w:r w:rsidR="008848CA" w:rsidRPr="008848CA">
        <w:rPr>
          <w:rFonts w:ascii="Calibri" w:eastAsia="Calibri" w:hAnsi="Calibri"/>
          <w:lang w:eastAsia="en-US"/>
        </w:rPr>
        <w:t xml:space="preserve"> em 29 de agosto de 2014, de representantes do DAEE, SABESP</w:t>
      </w:r>
      <w:r w:rsidR="008848CA">
        <w:rPr>
          <w:rFonts w:ascii="Calibri" w:eastAsia="Calibri" w:hAnsi="Calibri"/>
          <w:lang w:eastAsia="en-US"/>
        </w:rPr>
        <w:t xml:space="preserve"> </w:t>
      </w:r>
      <w:r w:rsidR="008848CA" w:rsidRPr="008848CA">
        <w:rPr>
          <w:rFonts w:ascii="Calibri" w:eastAsia="Calibri" w:hAnsi="Calibri"/>
          <w:lang w:eastAsia="en-US"/>
        </w:rPr>
        <w:t>e</w:t>
      </w:r>
      <w:r>
        <w:rPr>
          <w:rFonts w:ascii="Calibri" w:eastAsia="Calibri" w:hAnsi="Calibri"/>
          <w:lang w:eastAsia="en-US"/>
        </w:rPr>
        <w:t xml:space="preserve"> da </w:t>
      </w:r>
      <w:r w:rsidR="008848CA" w:rsidRPr="008848CA">
        <w:rPr>
          <w:rFonts w:ascii="Calibri" w:eastAsia="Calibri" w:hAnsi="Calibri"/>
          <w:lang w:eastAsia="en-US"/>
        </w:rPr>
        <w:t>COVISA</w:t>
      </w:r>
      <w:r>
        <w:rPr>
          <w:rFonts w:ascii="Calibri" w:eastAsia="Calibri" w:hAnsi="Calibri"/>
          <w:lang w:eastAsia="en-US"/>
        </w:rPr>
        <w:t xml:space="preserve"> (fls. 285/288</w:t>
      </w:r>
      <w:r w:rsidR="0069264B">
        <w:rPr>
          <w:rFonts w:ascii="Calibri" w:eastAsia="Calibri" w:hAnsi="Calibri"/>
          <w:lang w:eastAsia="en-US"/>
        </w:rPr>
        <w:t xml:space="preserve"> e transcrição às fls. 413/</w:t>
      </w:r>
      <w:r w:rsidR="003D7FA2">
        <w:rPr>
          <w:rFonts w:ascii="Calibri" w:eastAsia="Calibri" w:hAnsi="Calibri"/>
          <w:lang w:eastAsia="en-US"/>
        </w:rPr>
        <w:t>551</w:t>
      </w:r>
      <w:r w:rsidR="00A14ACB">
        <w:rPr>
          <w:rFonts w:ascii="Calibri" w:eastAsia="Calibri" w:hAnsi="Calibri"/>
          <w:lang w:eastAsia="en-US"/>
        </w:rPr>
        <w:t xml:space="preserve"> </w:t>
      </w:r>
      <w:r w:rsidR="00A14ACB" w:rsidRPr="00805467">
        <w:rPr>
          <w:rFonts w:ascii="Calibri" w:eastAsia="Calibri" w:hAnsi="Calibri"/>
          <w:lang w:eastAsia="en-US"/>
        </w:rPr>
        <w:t>e 1.022/1.034</w:t>
      </w:r>
      <w:r w:rsidR="003D7FA2" w:rsidRPr="00805467">
        <w:rPr>
          <w:rFonts w:ascii="Calibri" w:eastAsia="Calibri" w:hAnsi="Calibri"/>
          <w:lang w:eastAsia="en-US"/>
        </w:rPr>
        <w:t>).</w:t>
      </w:r>
      <w:r w:rsidR="003D7FA2">
        <w:rPr>
          <w:rFonts w:ascii="Calibri" w:eastAsia="Calibri" w:hAnsi="Calibri"/>
          <w:lang w:eastAsia="en-US"/>
        </w:rPr>
        <w:t xml:space="preserve"> </w:t>
      </w:r>
      <w:r w:rsidR="008848CA" w:rsidRPr="008848CA">
        <w:rPr>
          <w:rFonts w:ascii="Calibri" w:eastAsia="Calibri" w:hAnsi="Calibri"/>
          <w:lang w:eastAsia="en-US"/>
        </w:rPr>
        <w:t xml:space="preserve"> </w:t>
      </w:r>
    </w:p>
    <w:p w:rsidR="006D457A" w:rsidRDefault="006D457A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1B0BCA" w:rsidRDefault="003D7FA2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Já a</w:t>
      </w:r>
      <w:r w:rsidR="008848CA" w:rsidRPr="008848CA">
        <w:rPr>
          <w:rFonts w:ascii="Calibri" w:eastAsia="Calibri" w:hAnsi="Calibri"/>
          <w:lang w:eastAsia="en-US"/>
        </w:rPr>
        <w:t xml:space="preserve"> SABESP </w:t>
      </w:r>
      <w:r>
        <w:rPr>
          <w:rFonts w:ascii="Calibri" w:eastAsia="Calibri" w:hAnsi="Calibri"/>
          <w:lang w:eastAsia="en-US"/>
        </w:rPr>
        <w:t>e</w:t>
      </w:r>
      <w:r w:rsidR="006F37A5">
        <w:rPr>
          <w:rFonts w:ascii="Calibri" w:eastAsia="Calibri" w:hAnsi="Calibri"/>
          <w:lang w:eastAsia="en-US"/>
        </w:rPr>
        <w:t>nvi</w:t>
      </w:r>
      <w:r>
        <w:rPr>
          <w:rFonts w:ascii="Calibri" w:eastAsia="Calibri" w:hAnsi="Calibri"/>
          <w:lang w:eastAsia="en-US"/>
        </w:rPr>
        <w:t xml:space="preserve">ou outra </w:t>
      </w:r>
      <w:r w:rsidR="006F37A5">
        <w:rPr>
          <w:rFonts w:ascii="Calibri" w:eastAsia="Calibri" w:hAnsi="Calibri"/>
          <w:lang w:eastAsia="en-US"/>
        </w:rPr>
        <w:t xml:space="preserve">nota técnica </w:t>
      </w:r>
      <w:r>
        <w:rPr>
          <w:rFonts w:ascii="Calibri" w:eastAsia="Calibri" w:hAnsi="Calibri"/>
          <w:lang w:eastAsia="en-US"/>
        </w:rPr>
        <w:t xml:space="preserve">com mais esclarecimentos sobre o </w:t>
      </w:r>
      <w:r w:rsidRPr="00CE6ED6">
        <w:rPr>
          <w:rFonts w:ascii="Calibri" w:eastAsia="Calibri" w:hAnsi="Calibri"/>
          <w:u w:val="single"/>
          <w:lang w:eastAsia="en-US"/>
        </w:rPr>
        <w:t>abastecimento de água da RMSP</w:t>
      </w:r>
      <w:r>
        <w:rPr>
          <w:rFonts w:ascii="Calibri" w:eastAsia="Calibri" w:hAnsi="Calibri"/>
          <w:lang w:eastAsia="en-US"/>
        </w:rPr>
        <w:t xml:space="preserve"> (fls. 290/37</w:t>
      </w:r>
      <w:r w:rsidR="0090257C">
        <w:rPr>
          <w:rFonts w:ascii="Calibri" w:eastAsia="Calibri" w:hAnsi="Calibri"/>
          <w:lang w:eastAsia="en-US"/>
        </w:rPr>
        <w:t>5</w:t>
      </w:r>
      <w:r>
        <w:rPr>
          <w:rFonts w:ascii="Calibri" w:eastAsia="Calibri" w:hAnsi="Calibri"/>
          <w:lang w:eastAsia="en-US"/>
        </w:rPr>
        <w:t>) além de</w:t>
      </w:r>
      <w:r w:rsidR="006F37A5">
        <w:rPr>
          <w:rFonts w:ascii="Calibri" w:eastAsia="Calibri" w:hAnsi="Calibri"/>
          <w:lang w:eastAsia="en-US"/>
        </w:rPr>
        <w:t xml:space="preserve"> </w:t>
      </w:r>
      <w:r w:rsidR="008848CA" w:rsidRPr="008848CA">
        <w:rPr>
          <w:rFonts w:ascii="Calibri" w:eastAsia="Calibri" w:hAnsi="Calibri"/>
          <w:lang w:eastAsia="en-US"/>
        </w:rPr>
        <w:t>mapas</w:t>
      </w:r>
      <w:r w:rsidR="006F37A5">
        <w:rPr>
          <w:rFonts w:ascii="Calibri" w:eastAsia="Calibri" w:hAnsi="Calibri"/>
          <w:lang w:eastAsia="en-US"/>
        </w:rPr>
        <w:t>,</w:t>
      </w:r>
      <w:r w:rsidR="008848CA" w:rsidRPr="008848CA">
        <w:rPr>
          <w:rFonts w:ascii="Calibri" w:eastAsia="Calibri" w:hAnsi="Calibri"/>
          <w:lang w:eastAsia="en-US"/>
        </w:rPr>
        <w:t xml:space="preserve"> com coordenadas georreferenciadas, </w:t>
      </w:r>
      <w:r w:rsidR="006F37A5">
        <w:rPr>
          <w:rFonts w:ascii="Calibri" w:eastAsia="Calibri" w:hAnsi="Calibri"/>
          <w:lang w:eastAsia="en-US"/>
        </w:rPr>
        <w:t xml:space="preserve">acerca </w:t>
      </w:r>
      <w:r w:rsidR="008848CA" w:rsidRPr="008848CA">
        <w:rPr>
          <w:rFonts w:ascii="Calibri" w:eastAsia="Calibri" w:hAnsi="Calibri"/>
          <w:lang w:eastAsia="en-US"/>
        </w:rPr>
        <w:t>das reclamações de interrupção no abastecimento nos anos de 2013 e 2014</w:t>
      </w:r>
      <w:r>
        <w:rPr>
          <w:rFonts w:ascii="Calibri" w:eastAsia="Calibri" w:hAnsi="Calibri"/>
          <w:lang w:eastAsia="en-US"/>
        </w:rPr>
        <w:t xml:space="preserve"> (fls. 573/574 e Anexo VI)</w:t>
      </w:r>
      <w:r w:rsidR="00972569">
        <w:rPr>
          <w:rFonts w:ascii="Calibri" w:eastAsia="Calibri" w:hAnsi="Calibri"/>
          <w:lang w:eastAsia="en-US"/>
        </w:rPr>
        <w:t xml:space="preserve">. </w:t>
      </w:r>
    </w:p>
    <w:p w:rsidR="00972569" w:rsidRDefault="00972569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1B0BCA" w:rsidRDefault="003D7FA2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Por seu turno,</w:t>
      </w:r>
      <w:r w:rsidR="0069264B">
        <w:rPr>
          <w:rFonts w:ascii="Calibri" w:eastAsia="Calibri" w:hAnsi="Calibri"/>
          <w:lang w:eastAsia="en-US"/>
        </w:rPr>
        <w:t xml:space="preserve"> a</w:t>
      </w:r>
      <w:r w:rsidR="006F37A5">
        <w:rPr>
          <w:rFonts w:ascii="Calibri" w:eastAsia="Calibri" w:hAnsi="Calibri"/>
          <w:lang w:eastAsia="en-US"/>
        </w:rPr>
        <w:t xml:space="preserve"> CETESB </w:t>
      </w:r>
      <w:r w:rsidR="0069264B">
        <w:rPr>
          <w:rFonts w:ascii="Calibri" w:eastAsia="Calibri" w:hAnsi="Calibri"/>
          <w:lang w:eastAsia="en-US"/>
        </w:rPr>
        <w:t xml:space="preserve">encaminhou cópias do </w:t>
      </w:r>
      <w:r w:rsidR="0069264B" w:rsidRPr="00AC0C29">
        <w:rPr>
          <w:rFonts w:ascii="Calibri" w:eastAsia="Calibri" w:hAnsi="Calibri"/>
          <w:u w:val="single"/>
          <w:lang w:eastAsia="en-US"/>
        </w:rPr>
        <w:t>processo de licenciamento ambiental do Sistema Cantareira</w:t>
      </w:r>
      <w:r w:rsidR="0069264B">
        <w:rPr>
          <w:rFonts w:ascii="Calibri" w:eastAsia="Calibri" w:hAnsi="Calibri"/>
          <w:lang w:eastAsia="en-US"/>
        </w:rPr>
        <w:t xml:space="preserve">, bem como de relatórios a respeito da vazão transferida do Sistema </w:t>
      </w:r>
      <w:proofErr w:type="spellStart"/>
      <w:r w:rsidR="0069264B">
        <w:rPr>
          <w:rFonts w:ascii="Calibri" w:eastAsia="Calibri" w:hAnsi="Calibri"/>
          <w:lang w:eastAsia="en-US"/>
        </w:rPr>
        <w:t>Taiaçupeba</w:t>
      </w:r>
      <w:proofErr w:type="spellEnd"/>
      <w:r w:rsidR="0069264B">
        <w:rPr>
          <w:rFonts w:ascii="Calibri" w:eastAsia="Calibri" w:hAnsi="Calibri"/>
          <w:lang w:eastAsia="en-US"/>
        </w:rPr>
        <w:t xml:space="preserve"> à Represa Guarapiranga, estes últimos apresentados pela SABESP (fls. 376/389 e Anexos I e II).</w:t>
      </w:r>
    </w:p>
    <w:p w:rsidR="0069264B" w:rsidRDefault="0069264B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9264B" w:rsidRDefault="0069264B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Nova</w:t>
      </w:r>
      <w:r w:rsidR="00F57922">
        <w:rPr>
          <w:rFonts w:ascii="Calibri" w:eastAsia="Calibri" w:hAnsi="Calibri"/>
          <w:lang w:eastAsia="en-US"/>
        </w:rPr>
        <w:t>s</w:t>
      </w:r>
      <w:r>
        <w:rPr>
          <w:rFonts w:ascii="Calibri" w:eastAsia="Calibri" w:hAnsi="Calibri"/>
          <w:lang w:eastAsia="en-US"/>
        </w:rPr>
        <w:t xml:space="preserve"> representaç</w:t>
      </w:r>
      <w:r w:rsidR="00F57922">
        <w:rPr>
          <w:rFonts w:ascii="Calibri" w:eastAsia="Calibri" w:hAnsi="Calibri"/>
          <w:lang w:eastAsia="en-US"/>
        </w:rPr>
        <w:t>ões</w:t>
      </w:r>
      <w:r>
        <w:rPr>
          <w:rFonts w:ascii="Calibri" w:eastAsia="Calibri" w:hAnsi="Calibri"/>
          <w:lang w:eastAsia="en-US"/>
        </w:rPr>
        <w:t xml:space="preserve"> relativa</w:t>
      </w:r>
      <w:r w:rsidR="00F57922">
        <w:rPr>
          <w:rFonts w:ascii="Calibri" w:eastAsia="Calibri" w:hAnsi="Calibri"/>
          <w:lang w:eastAsia="en-US"/>
        </w:rPr>
        <w:t>s</w:t>
      </w:r>
      <w:r>
        <w:rPr>
          <w:rFonts w:ascii="Calibri" w:eastAsia="Calibri" w:hAnsi="Calibri"/>
          <w:lang w:eastAsia="en-US"/>
        </w:rPr>
        <w:t xml:space="preserve"> aos fatos em tela fo</w:t>
      </w:r>
      <w:r w:rsidR="00F57922">
        <w:rPr>
          <w:rFonts w:ascii="Calibri" w:eastAsia="Calibri" w:hAnsi="Calibri"/>
          <w:lang w:eastAsia="en-US"/>
        </w:rPr>
        <w:t>ram</w:t>
      </w:r>
      <w:r>
        <w:rPr>
          <w:rFonts w:ascii="Calibri" w:eastAsia="Calibri" w:hAnsi="Calibri"/>
          <w:lang w:eastAsia="en-US"/>
        </w:rPr>
        <w:t xml:space="preserve"> acostada</w:t>
      </w:r>
      <w:r w:rsidR="00F57922">
        <w:rPr>
          <w:rFonts w:ascii="Calibri" w:eastAsia="Calibri" w:hAnsi="Calibri"/>
          <w:lang w:eastAsia="en-US"/>
        </w:rPr>
        <w:t>s</w:t>
      </w:r>
      <w:r>
        <w:rPr>
          <w:rFonts w:ascii="Calibri" w:eastAsia="Calibri" w:hAnsi="Calibri"/>
          <w:lang w:eastAsia="en-US"/>
        </w:rPr>
        <w:t xml:space="preserve"> às fls. 400/412</w:t>
      </w:r>
      <w:r w:rsidR="00F57922" w:rsidRPr="00805467">
        <w:rPr>
          <w:rFonts w:ascii="Calibri" w:eastAsia="Calibri" w:hAnsi="Calibri"/>
          <w:lang w:eastAsia="en-US"/>
        </w:rPr>
        <w:t>, 1.060/1.065</w:t>
      </w:r>
      <w:r w:rsidR="009E7AB1" w:rsidRPr="00805467">
        <w:rPr>
          <w:rFonts w:ascii="Calibri" w:eastAsia="Calibri" w:hAnsi="Calibri"/>
          <w:lang w:eastAsia="en-US"/>
        </w:rPr>
        <w:t>,</w:t>
      </w:r>
      <w:r w:rsidR="00F57922" w:rsidRPr="00805467">
        <w:rPr>
          <w:rFonts w:ascii="Calibri" w:eastAsia="Calibri" w:hAnsi="Calibri"/>
          <w:lang w:eastAsia="en-US"/>
        </w:rPr>
        <w:t xml:space="preserve"> 1.067/1.071</w:t>
      </w:r>
      <w:r w:rsidR="009E7AB1" w:rsidRPr="00805467">
        <w:rPr>
          <w:rFonts w:ascii="Calibri" w:eastAsia="Calibri" w:hAnsi="Calibri"/>
          <w:lang w:eastAsia="en-US"/>
        </w:rPr>
        <w:t xml:space="preserve"> e 1.551/1.555</w:t>
      </w:r>
      <w:r w:rsidR="00AC0C29" w:rsidRPr="00805467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</w:t>
      </w:r>
    </w:p>
    <w:p w:rsidR="0069264B" w:rsidRDefault="0069264B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3D7FA2" w:rsidRDefault="00560B76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560B76">
        <w:rPr>
          <w:rFonts w:ascii="Calibri" w:eastAsia="Calibri" w:hAnsi="Calibri"/>
          <w:lang w:eastAsia="en-US"/>
        </w:rPr>
        <w:t xml:space="preserve">Apurou-se, ainda, que a </w:t>
      </w:r>
      <w:r w:rsidR="00E9760D">
        <w:rPr>
          <w:rFonts w:ascii="Calibri" w:eastAsia="Calibri" w:hAnsi="Calibri"/>
          <w:lang w:eastAsia="en-US"/>
        </w:rPr>
        <w:t xml:space="preserve">E. </w:t>
      </w:r>
      <w:r w:rsidRPr="00560B76">
        <w:rPr>
          <w:rFonts w:ascii="Calibri" w:eastAsia="Calibri" w:hAnsi="Calibri"/>
          <w:lang w:eastAsia="en-US"/>
        </w:rPr>
        <w:t>Promotoria de Justiça de Habitação e Urbanismo investiga</w:t>
      </w:r>
      <w:r>
        <w:rPr>
          <w:rFonts w:ascii="Calibri" w:eastAsia="Calibri" w:hAnsi="Calibri"/>
          <w:lang w:eastAsia="en-US"/>
        </w:rPr>
        <w:t>va</w:t>
      </w:r>
      <w:r w:rsidRPr="00560B76">
        <w:rPr>
          <w:rFonts w:ascii="Calibri" w:eastAsia="Calibri" w:hAnsi="Calibri"/>
          <w:lang w:eastAsia="en-US"/>
        </w:rPr>
        <w:t xml:space="preserve"> parte dos fatos tratados nestes autos, por meio do Inquérito Civil 14.0739.0005266/2014-8, instaurado em 29 de maio de 2014.</w:t>
      </w:r>
      <w:r>
        <w:rPr>
          <w:rFonts w:ascii="Calibri" w:eastAsia="Calibri" w:hAnsi="Calibri"/>
          <w:lang w:eastAsia="en-US"/>
        </w:rPr>
        <w:t xml:space="preserve"> A cópia integral de tais autos formou os Anexos III, IV e V (fls. 553/554).  </w:t>
      </w:r>
    </w:p>
    <w:p w:rsidR="00004994" w:rsidRDefault="00004994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1B0BCA" w:rsidRPr="001B0BCA" w:rsidRDefault="001B0BCA" w:rsidP="001B0BC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1B0BCA">
        <w:rPr>
          <w:rFonts w:ascii="Calibri" w:eastAsia="Calibri" w:hAnsi="Calibri"/>
          <w:lang w:eastAsia="en-US"/>
        </w:rPr>
        <w:t xml:space="preserve">Por decisão exarada às fis. 555, os presentes autos foram redistribuídos a este Núcleo </w:t>
      </w:r>
      <w:r w:rsidR="00E9760D">
        <w:rPr>
          <w:rFonts w:ascii="Calibri" w:eastAsia="Calibri" w:hAnsi="Calibri"/>
          <w:lang w:eastAsia="en-US"/>
        </w:rPr>
        <w:t xml:space="preserve">Cabeceiras do </w:t>
      </w:r>
      <w:r w:rsidRPr="001B0BCA">
        <w:rPr>
          <w:rFonts w:ascii="Calibri" w:eastAsia="Calibri" w:hAnsi="Calibri"/>
          <w:lang w:eastAsia="en-US"/>
        </w:rPr>
        <w:t>GAEMA</w:t>
      </w:r>
      <w:r w:rsidR="00461F33">
        <w:rPr>
          <w:rFonts w:ascii="Calibri" w:eastAsia="Calibri" w:hAnsi="Calibri"/>
          <w:lang w:eastAsia="en-US"/>
        </w:rPr>
        <w:t xml:space="preserve">, diante da necessidade de </w:t>
      </w:r>
      <w:r w:rsidR="00461F33">
        <w:rPr>
          <w:rFonts w:ascii="Calibri" w:eastAsia="Calibri" w:hAnsi="Calibri"/>
          <w:lang w:eastAsia="en-US"/>
        </w:rPr>
        <w:lastRenderedPageBreak/>
        <w:t xml:space="preserve">uma atuação do Ministério Público voltada a todo o sistema produtor de água da RMSP. </w:t>
      </w:r>
      <w:r w:rsidRPr="001B0BCA">
        <w:rPr>
          <w:rFonts w:ascii="Calibri" w:eastAsia="Calibri" w:hAnsi="Calibri"/>
          <w:lang w:eastAsia="en-US"/>
        </w:rPr>
        <w:t xml:space="preserve"> </w:t>
      </w:r>
    </w:p>
    <w:p w:rsidR="001B0BCA" w:rsidRDefault="001B0BCA" w:rsidP="00C206E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2B5B25" w:rsidRDefault="002B5B25" w:rsidP="00C206E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Após, o</w:t>
      </w:r>
      <w:proofErr w:type="gramEnd"/>
      <w:r w:rsidR="00E9760D">
        <w:rPr>
          <w:rFonts w:ascii="Calibri" w:eastAsia="Calibri" w:hAnsi="Calibri"/>
          <w:lang w:eastAsia="en-US"/>
        </w:rPr>
        <w:t xml:space="preserve"> d.</w:t>
      </w:r>
      <w:r>
        <w:rPr>
          <w:rFonts w:ascii="Calibri" w:eastAsia="Calibri" w:hAnsi="Calibri"/>
          <w:lang w:eastAsia="en-US"/>
        </w:rPr>
        <w:t xml:space="preserve"> Promotor</w:t>
      </w:r>
      <w:r w:rsidR="00805467">
        <w:rPr>
          <w:rFonts w:ascii="Calibri" w:eastAsia="Calibri" w:hAnsi="Calibri"/>
          <w:lang w:eastAsia="en-US"/>
        </w:rPr>
        <w:t xml:space="preserve"> de Justiça</w:t>
      </w:r>
      <w:r>
        <w:rPr>
          <w:rFonts w:ascii="Calibri" w:eastAsia="Calibri" w:hAnsi="Calibri"/>
          <w:lang w:eastAsia="en-US"/>
        </w:rPr>
        <w:t xml:space="preserve"> oficiante neste </w:t>
      </w:r>
      <w:r w:rsidR="002C2645">
        <w:rPr>
          <w:rFonts w:ascii="Calibri" w:eastAsia="Calibri" w:hAnsi="Calibri"/>
          <w:lang w:eastAsia="en-US"/>
        </w:rPr>
        <w:t xml:space="preserve">Núcleo GAEMA à época suscitou conflito </w:t>
      </w:r>
      <w:r w:rsidR="007F2ADB">
        <w:rPr>
          <w:rFonts w:ascii="Calibri" w:eastAsia="Calibri" w:hAnsi="Calibri"/>
          <w:lang w:eastAsia="en-US"/>
        </w:rPr>
        <w:t xml:space="preserve">positivo de atribuições para </w:t>
      </w:r>
      <w:r w:rsidR="007F2ADB" w:rsidRPr="007F2ADB">
        <w:rPr>
          <w:rFonts w:ascii="Calibri" w:eastAsia="Calibri" w:hAnsi="Calibri"/>
          <w:lang w:eastAsia="en-US"/>
        </w:rPr>
        <w:t>atuar n</w:t>
      </w:r>
      <w:r w:rsidR="007F2ADB">
        <w:rPr>
          <w:rFonts w:ascii="Calibri" w:eastAsia="Calibri" w:hAnsi="Calibri"/>
          <w:lang w:eastAsia="en-US"/>
        </w:rPr>
        <w:t>o</w:t>
      </w:r>
      <w:r w:rsidR="007F2ADB" w:rsidRPr="007F2ADB">
        <w:rPr>
          <w:rFonts w:ascii="Calibri" w:eastAsia="Calibri" w:hAnsi="Calibri"/>
          <w:lang w:eastAsia="en-US"/>
        </w:rPr>
        <w:t>s autos d</w:t>
      </w:r>
      <w:r w:rsidR="007F2ADB">
        <w:rPr>
          <w:rFonts w:ascii="Calibri" w:eastAsia="Calibri" w:hAnsi="Calibri"/>
          <w:lang w:eastAsia="en-US"/>
        </w:rPr>
        <w:t>o</w:t>
      </w:r>
      <w:r w:rsidR="007F2ADB" w:rsidRPr="007F2ADB">
        <w:rPr>
          <w:rFonts w:ascii="Calibri" w:eastAsia="Calibri" w:hAnsi="Calibri"/>
          <w:lang w:eastAsia="en-US"/>
        </w:rPr>
        <w:t xml:space="preserve"> Inquérito Civil n</w:t>
      </w:r>
      <w:r w:rsidR="007F2ADB">
        <w:rPr>
          <w:rFonts w:ascii="Calibri" w:eastAsia="Calibri" w:hAnsi="Calibri"/>
          <w:lang w:eastAsia="en-US"/>
        </w:rPr>
        <w:t>º</w:t>
      </w:r>
      <w:r w:rsidR="007F2ADB" w:rsidRPr="007F2ADB">
        <w:rPr>
          <w:rFonts w:ascii="Calibri" w:eastAsia="Calibri" w:hAnsi="Calibri"/>
          <w:lang w:eastAsia="en-US"/>
        </w:rPr>
        <w:t xml:space="preserve"> 14.0739.0005266/2014-8, em trâmite perante a </w:t>
      </w:r>
      <w:r w:rsidR="00E9760D">
        <w:rPr>
          <w:rFonts w:ascii="Calibri" w:eastAsia="Calibri" w:hAnsi="Calibri"/>
          <w:lang w:eastAsia="en-US"/>
        </w:rPr>
        <w:t xml:space="preserve">E. </w:t>
      </w:r>
      <w:r w:rsidR="007F2ADB" w:rsidRPr="007F2ADB">
        <w:rPr>
          <w:rFonts w:ascii="Calibri" w:eastAsia="Calibri" w:hAnsi="Calibri"/>
          <w:lang w:eastAsia="en-US"/>
        </w:rPr>
        <w:t>5° Promotor</w:t>
      </w:r>
      <w:r w:rsidR="00E9760D">
        <w:rPr>
          <w:rFonts w:ascii="Calibri" w:eastAsia="Calibri" w:hAnsi="Calibri"/>
          <w:lang w:eastAsia="en-US"/>
        </w:rPr>
        <w:t>ia</w:t>
      </w:r>
      <w:r w:rsidR="007F2ADB" w:rsidRPr="007F2ADB">
        <w:rPr>
          <w:rFonts w:ascii="Calibri" w:eastAsia="Calibri" w:hAnsi="Calibri"/>
          <w:lang w:eastAsia="en-US"/>
        </w:rPr>
        <w:t xml:space="preserve"> de Justiça de Habitação e Urbanismo da Capital</w:t>
      </w:r>
      <w:r w:rsidR="00A14ACB">
        <w:rPr>
          <w:rFonts w:ascii="Calibri" w:eastAsia="Calibri" w:hAnsi="Calibri"/>
          <w:lang w:eastAsia="en-US"/>
        </w:rPr>
        <w:t xml:space="preserve"> (fls. 581/584). Referido conflito foi considerado prejudicado, eis que o Promotor suscitado concordou com a reunião dos procedimentos </w:t>
      </w:r>
      <w:r w:rsidR="00CE6ED6">
        <w:rPr>
          <w:rFonts w:ascii="Calibri" w:eastAsia="Calibri" w:hAnsi="Calibri"/>
          <w:lang w:eastAsia="en-US"/>
        </w:rPr>
        <w:t xml:space="preserve">perante este Núcleo </w:t>
      </w:r>
      <w:r w:rsidR="00CE6ED6" w:rsidRPr="00805467">
        <w:rPr>
          <w:rFonts w:ascii="Calibri" w:eastAsia="Calibri" w:hAnsi="Calibri"/>
          <w:lang w:eastAsia="en-US"/>
        </w:rPr>
        <w:t xml:space="preserve">GAEMA </w:t>
      </w:r>
      <w:r w:rsidR="00A14ACB" w:rsidRPr="00805467">
        <w:rPr>
          <w:rFonts w:ascii="Calibri" w:eastAsia="Calibri" w:hAnsi="Calibri"/>
          <w:lang w:eastAsia="en-US"/>
        </w:rPr>
        <w:t>(fls. 1.008/1.009).</w:t>
      </w:r>
      <w:r w:rsidR="00A14ACB">
        <w:rPr>
          <w:rFonts w:ascii="Calibri" w:eastAsia="Calibri" w:hAnsi="Calibri"/>
          <w:lang w:eastAsia="en-US"/>
        </w:rPr>
        <w:t xml:space="preserve"> </w:t>
      </w:r>
    </w:p>
    <w:p w:rsidR="002B5B25" w:rsidRDefault="002B5B25" w:rsidP="00C206E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2B5B25" w:rsidRDefault="00A14ACB" w:rsidP="00C206E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Na sequência, foram juntadas </w:t>
      </w:r>
      <w:r w:rsidRPr="00A14ACB">
        <w:rPr>
          <w:rFonts w:ascii="Calibri" w:eastAsia="Calibri" w:hAnsi="Calibri"/>
          <w:lang w:eastAsia="en-US"/>
        </w:rPr>
        <w:t>cópias das petições iniciais das ações civis públicas já ajuizadas acerca dos Sistemas Cantareira e Alto Tietê, dos respectivos recursos, com pesquisas de andamento atualizado das ações, em primeira e segunda instâncias</w:t>
      </w:r>
      <w:r>
        <w:rPr>
          <w:rFonts w:ascii="Calibri" w:eastAsia="Calibri" w:hAnsi="Calibri"/>
          <w:lang w:eastAsia="en-US"/>
        </w:rPr>
        <w:t xml:space="preserve"> (autos nº 1045396-33.2014.8.26.0053 – fls. 601/746 e autos </w:t>
      </w:r>
      <w:r w:rsidRPr="00F931DD">
        <w:rPr>
          <w:rFonts w:ascii="Calibri" w:eastAsia="Calibri" w:hAnsi="Calibri"/>
          <w:lang w:eastAsia="en-US"/>
        </w:rPr>
        <w:t>nº 00059</w:t>
      </w:r>
      <w:r w:rsidR="000F008F" w:rsidRPr="00F931DD">
        <w:rPr>
          <w:rFonts w:ascii="Calibri" w:eastAsia="Calibri" w:hAnsi="Calibri"/>
          <w:lang w:eastAsia="en-US"/>
        </w:rPr>
        <w:t>3</w:t>
      </w:r>
      <w:r w:rsidRPr="00F931DD">
        <w:rPr>
          <w:rFonts w:ascii="Calibri" w:eastAsia="Calibri" w:hAnsi="Calibri"/>
          <w:lang w:eastAsia="en-US"/>
        </w:rPr>
        <w:t>0-92.2014.4</w:t>
      </w:r>
      <w:r w:rsidR="00AB5D6B" w:rsidRPr="00F931DD">
        <w:rPr>
          <w:rFonts w:ascii="Calibri" w:eastAsia="Calibri" w:hAnsi="Calibri"/>
          <w:lang w:eastAsia="en-US"/>
        </w:rPr>
        <w:t>.</w:t>
      </w:r>
      <w:r w:rsidRPr="00F931DD">
        <w:rPr>
          <w:rFonts w:ascii="Calibri" w:eastAsia="Calibri" w:hAnsi="Calibri"/>
          <w:lang w:eastAsia="en-US"/>
        </w:rPr>
        <w:t>03.6109 ou</w:t>
      </w:r>
      <w:r>
        <w:rPr>
          <w:rFonts w:ascii="Calibri" w:eastAsia="Calibri" w:hAnsi="Calibri"/>
          <w:lang w:eastAsia="en-US"/>
        </w:rPr>
        <w:t xml:space="preserve"> 0026249-75.2014.4.03.0000 – fls. 751/997)</w:t>
      </w:r>
      <w:r w:rsidRPr="00A14ACB">
        <w:rPr>
          <w:rFonts w:ascii="Calibri" w:eastAsia="Calibri" w:hAnsi="Calibri"/>
          <w:lang w:eastAsia="en-US"/>
        </w:rPr>
        <w:t>.</w:t>
      </w:r>
    </w:p>
    <w:p w:rsidR="001B0BCA" w:rsidRDefault="001B0BCA" w:rsidP="00C206E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0C4B03" w:rsidRDefault="00380DC9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A COVISA, em resposta a novo ofício expedido, informou que </w:t>
      </w:r>
      <w:r w:rsidR="003235BC">
        <w:rPr>
          <w:rFonts w:ascii="Calibri" w:eastAsia="Calibri" w:hAnsi="Calibri"/>
          <w:lang w:eastAsia="en-US"/>
        </w:rPr>
        <w:t xml:space="preserve">não </w:t>
      </w:r>
      <w:r w:rsidR="00CE6ED6">
        <w:rPr>
          <w:rFonts w:ascii="Calibri" w:eastAsia="Calibri" w:hAnsi="Calibri"/>
          <w:lang w:eastAsia="en-US"/>
        </w:rPr>
        <w:t>foram</w:t>
      </w:r>
      <w:r w:rsidR="003235BC">
        <w:rPr>
          <w:rFonts w:ascii="Calibri" w:eastAsia="Calibri" w:hAnsi="Calibri"/>
          <w:lang w:eastAsia="en-US"/>
        </w:rPr>
        <w:t xml:space="preserve"> observadas variações significativas na </w:t>
      </w:r>
      <w:r w:rsidR="003235BC" w:rsidRPr="00CE6ED6">
        <w:rPr>
          <w:rFonts w:ascii="Calibri" w:eastAsia="Calibri" w:hAnsi="Calibri"/>
          <w:u w:val="single"/>
          <w:lang w:eastAsia="en-US"/>
        </w:rPr>
        <w:t>qualidade da água</w:t>
      </w:r>
      <w:r w:rsidR="003235BC">
        <w:rPr>
          <w:rFonts w:ascii="Calibri" w:eastAsia="Calibri" w:hAnsi="Calibri"/>
          <w:lang w:eastAsia="en-US"/>
        </w:rPr>
        <w:t xml:space="preserve"> distribuída no Município </w:t>
      </w:r>
      <w:r w:rsidR="00B420A2">
        <w:rPr>
          <w:rFonts w:ascii="Calibri" w:eastAsia="Calibri" w:hAnsi="Calibri"/>
          <w:lang w:eastAsia="en-US"/>
        </w:rPr>
        <w:t>d</w:t>
      </w:r>
      <w:r w:rsidR="003235BC">
        <w:rPr>
          <w:rFonts w:ascii="Calibri" w:eastAsia="Calibri" w:hAnsi="Calibri"/>
          <w:lang w:eastAsia="en-US"/>
        </w:rPr>
        <w:t xml:space="preserve">e São Paulo, a partir de análises realizadas em amostras retiradas dos </w:t>
      </w:r>
      <w:r w:rsidR="003235BC" w:rsidRPr="00CE6ED6">
        <w:rPr>
          <w:rFonts w:ascii="Calibri" w:eastAsia="Calibri" w:hAnsi="Calibri"/>
          <w:u w:val="single"/>
          <w:lang w:eastAsia="en-US"/>
        </w:rPr>
        <w:t>Sistemas Guarapiranga e Cantareira</w:t>
      </w:r>
      <w:r w:rsidR="003235BC">
        <w:rPr>
          <w:rFonts w:ascii="Calibri" w:eastAsia="Calibri" w:hAnsi="Calibri"/>
          <w:lang w:eastAsia="en-US"/>
        </w:rPr>
        <w:t xml:space="preserve"> (fls. 1.036/1.037).</w:t>
      </w:r>
    </w:p>
    <w:p w:rsidR="00A14ACB" w:rsidRDefault="00A14ACB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3235BC" w:rsidRDefault="003235BC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Informações extraídas do sítio eletrônico da SABESP acerca do </w:t>
      </w:r>
      <w:r w:rsidRPr="00CE6ED6">
        <w:rPr>
          <w:rFonts w:ascii="Calibri" w:eastAsia="Calibri" w:hAnsi="Calibri"/>
          <w:u w:val="single"/>
          <w:lang w:eastAsia="en-US"/>
        </w:rPr>
        <w:t>volume do Sistema Cantareira</w:t>
      </w:r>
      <w:r>
        <w:rPr>
          <w:rFonts w:ascii="Calibri" w:eastAsia="Calibri" w:hAnsi="Calibri"/>
          <w:lang w:eastAsia="en-US"/>
        </w:rPr>
        <w:t xml:space="preserve"> foram acostadas às fs. 1.046/1.057</w:t>
      </w:r>
      <w:r w:rsidR="00F57922">
        <w:rPr>
          <w:rFonts w:ascii="Calibri" w:eastAsia="Calibri" w:hAnsi="Calibri"/>
          <w:lang w:eastAsia="en-US"/>
        </w:rPr>
        <w:t xml:space="preserve">. </w:t>
      </w:r>
    </w:p>
    <w:p w:rsidR="00A14ACB" w:rsidRDefault="00A14ACB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F57922" w:rsidRDefault="00F57922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Também </w:t>
      </w:r>
      <w:r w:rsidR="0057738B">
        <w:rPr>
          <w:rFonts w:ascii="Calibri" w:eastAsia="Calibri" w:hAnsi="Calibri"/>
          <w:lang w:eastAsia="en-US"/>
        </w:rPr>
        <w:t xml:space="preserve">foram acostadas cópias de documentação contida no </w:t>
      </w:r>
      <w:r w:rsidR="0057738B" w:rsidRPr="00CE6ED6">
        <w:rPr>
          <w:rFonts w:ascii="Calibri" w:eastAsia="Calibri" w:hAnsi="Calibri"/>
          <w:u w:val="single"/>
          <w:lang w:eastAsia="en-US"/>
        </w:rPr>
        <w:t xml:space="preserve">IC </w:t>
      </w:r>
      <w:r w:rsidR="0057738B" w:rsidRPr="0065603B">
        <w:rPr>
          <w:rFonts w:ascii="Calibri" w:eastAsia="Calibri" w:hAnsi="Calibri"/>
          <w:lang w:eastAsia="en-US"/>
        </w:rPr>
        <w:t>nº 14.1096.0000005/2014-2, em trâmite no GAEMA PCJ-Piracicaba</w:t>
      </w:r>
      <w:r w:rsidR="00F744BC" w:rsidRPr="0065603B">
        <w:rPr>
          <w:rFonts w:ascii="Calibri" w:eastAsia="Calibri" w:hAnsi="Calibri"/>
          <w:lang w:eastAsia="en-US"/>
        </w:rPr>
        <w:t xml:space="preserve">, relativo </w:t>
      </w:r>
      <w:r w:rsidR="00361472" w:rsidRPr="0065603B">
        <w:rPr>
          <w:rFonts w:ascii="Calibri" w:eastAsia="Calibri" w:hAnsi="Calibri"/>
          <w:lang w:eastAsia="en-US"/>
        </w:rPr>
        <w:t>ao monitoramento, a fiscalização e à gestão da qualidade hídrica, sobretudo daquela destinada ao consumo humano, no Sistema Cantareira</w:t>
      </w:r>
      <w:r w:rsidR="0057738B" w:rsidRPr="00805467">
        <w:rPr>
          <w:rFonts w:ascii="Calibri" w:eastAsia="Calibri" w:hAnsi="Calibri"/>
          <w:u w:val="single"/>
          <w:lang w:eastAsia="en-US"/>
        </w:rPr>
        <w:t xml:space="preserve"> </w:t>
      </w:r>
      <w:r w:rsidR="0057738B" w:rsidRPr="00805467">
        <w:rPr>
          <w:rFonts w:ascii="Calibri" w:eastAsia="Calibri" w:hAnsi="Calibri"/>
          <w:lang w:eastAsia="en-US"/>
        </w:rPr>
        <w:t>(fls. 1.086/1.179</w:t>
      </w:r>
      <w:r w:rsidR="00CB37A7" w:rsidRPr="00805467">
        <w:rPr>
          <w:rFonts w:ascii="Calibri" w:eastAsia="Calibri" w:hAnsi="Calibri"/>
          <w:lang w:eastAsia="en-US"/>
        </w:rPr>
        <w:t xml:space="preserve">, </w:t>
      </w:r>
      <w:r w:rsidR="00EF6919" w:rsidRPr="00805467">
        <w:rPr>
          <w:rFonts w:ascii="Calibri" w:eastAsia="Calibri" w:hAnsi="Calibri"/>
          <w:lang w:eastAsia="en-US"/>
        </w:rPr>
        <w:t>5.989/5.997</w:t>
      </w:r>
      <w:r w:rsidR="003D5970" w:rsidRPr="00805467">
        <w:rPr>
          <w:rFonts w:ascii="Calibri" w:eastAsia="Calibri" w:hAnsi="Calibri"/>
          <w:lang w:eastAsia="en-US"/>
        </w:rPr>
        <w:t>,</w:t>
      </w:r>
      <w:r w:rsidR="00CB37A7" w:rsidRPr="00805467">
        <w:rPr>
          <w:rFonts w:ascii="Calibri" w:eastAsia="Calibri" w:hAnsi="Calibri"/>
          <w:lang w:eastAsia="en-US"/>
        </w:rPr>
        <w:t xml:space="preserve"> 6.505/6.523</w:t>
      </w:r>
      <w:r w:rsidR="003D5970" w:rsidRPr="00805467">
        <w:rPr>
          <w:rFonts w:ascii="Calibri" w:eastAsia="Calibri" w:hAnsi="Calibri"/>
          <w:lang w:eastAsia="en-US"/>
        </w:rPr>
        <w:t>, 6.505/6.523</w:t>
      </w:r>
      <w:r w:rsidR="0057738B" w:rsidRPr="00805467">
        <w:rPr>
          <w:rFonts w:ascii="Calibri" w:eastAsia="Calibri" w:hAnsi="Calibri"/>
          <w:lang w:eastAsia="en-US"/>
        </w:rPr>
        <w:t>).</w:t>
      </w:r>
      <w:r w:rsidR="0057738B">
        <w:rPr>
          <w:rFonts w:ascii="Calibri" w:eastAsia="Calibri" w:hAnsi="Calibri"/>
          <w:lang w:eastAsia="en-US"/>
        </w:rPr>
        <w:t xml:space="preserve"> </w:t>
      </w:r>
    </w:p>
    <w:p w:rsidR="00A14ACB" w:rsidRDefault="00A14ACB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A14ACB" w:rsidRDefault="00361472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A CETESB, </w:t>
      </w:r>
      <w:r w:rsidR="002973C6">
        <w:rPr>
          <w:rFonts w:ascii="Calibri" w:eastAsia="Calibri" w:hAnsi="Calibri"/>
          <w:lang w:eastAsia="en-US"/>
        </w:rPr>
        <w:t xml:space="preserve">por sua vez, apresentou </w:t>
      </w:r>
      <w:r w:rsidR="002973C6" w:rsidRPr="00AC0C29">
        <w:rPr>
          <w:rFonts w:ascii="Calibri" w:eastAsia="Calibri" w:hAnsi="Calibri"/>
          <w:u w:val="single"/>
          <w:lang w:eastAsia="en-US"/>
        </w:rPr>
        <w:t xml:space="preserve">boletins mensais acerca da </w:t>
      </w:r>
      <w:r w:rsidR="002973C6" w:rsidRPr="00805467">
        <w:rPr>
          <w:rFonts w:ascii="Calibri" w:eastAsia="Calibri" w:hAnsi="Calibri"/>
          <w:u w:val="single"/>
          <w:lang w:eastAsia="en-US"/>
        </w:rPr>
        <w:t>qualidade da água no Sistema Cantareira</w:t>
      </w:r>
      <w:r w:rsidR="002973C6" w:rsidRPr="00805467">
        <w:rPr>
          <w:rFonts w:ascii="Calibri" w:eastAsia="Calibri" w:hAnsi="Calibri"/>
          <w:lang w:eastAsia="en-US"/>
        </w:rPr>
        <w:t xml:space="preserve"> (fls. 1.188/</w:t>
      </w:r>
      <w:r w:rsidR="00AB288F" w:rsidRPr="00805467">
        <w:rPr>
          <w:rFonts w:ascii="Calibri" w:eastAsia="Calibri" w:hAnsi="Calibri"/>
          <w:lang w:eastAsia="en-US"/>
        </w:rPr>
        <w:t>1.196, 1.213/1.21</w:t>
      </w:r>
      <w:r w:rsidR="000C2077" w:rsidRPr="00805467">
        <w:rPr>
          <w:rFonts w:ascii="Calibri" w:eastAsia="Calibri" w:hAnsi="Calibri"/>
          <w:lang w:eastAsia="en-US"/>
        </w:rPr>
        <w:t>7</w:t>
      </w:r>
      <w:r w:rsidR="0096285C" w:rsidRPr="00805467">
        <w:rPr>
          <w:rFonts w:ascii="Calibri" w:eastAsia="Calibri" w:hAnsi="Calibri"/>
          <w:lang w:eastAsia="en-US"/>
        </w:rPr>
        <w:t>, 1.849/1.854</w:t>
      </w:r>
      <w:r w:rsidR="00CD48E3" w:rsidRPr="00805467">
        <w:rPr>
          <w:rFonts w:ascii="Calibri" w:eastAsia="Calibri" w:hAnsi="Calibri"/>
          <w:lang w:eastAsia="en-US"/>
        </w:rPr>
        <w:t xml:space="preserve">, </w:t>
      </w:r>
      <w:r w:rsidR="000F008F" w:rsidRPr="00805467">
        <w:rPr>
          <w:rFonts w:ascii="Calibri" w:eastAsia="Calibri" w:hAnsi="Calibri"/>
          <w:lang w:eastAsia="en-US"/>
        </w:rPr>
        <w:t>1.850/1.854, 1.914/1.919</w:t>
      </w:r>
      <w:r w:rsidR="0078249B" w:rsidRPr="00805467">
        <w:rPr>
          <w:rFonts w:ascii="Calibri" w:eastAsia="Calibri" w:hAnsi="Calibri"/>
          <w:lang w:eastAsia="en-US"/>
        </w:rPr>
        <w:t>, 2.884/2.888, 2.975/2.979</w:t>
      </w:r>
      <w:r w:rsidR="0083325A" w:rsidRPr="00805467">
        <w:rPr>
          <w:rFonts w:ascii="Calibri" w:eastAsia="Calibri" w:hAnsi="Calibri"/>
          <w:lang w:eastAsia="en-US"/>
        </w:rPr>
        <w:t>, 3.971/3.975</w:t>
      </w:r>
      <w:r w:rsidR="009C653E" w:rsidRPr="00805467">
        <w:rPr>
          <w:rFonts w:ascii="Calibri" w:eastAsia="Calibri" w:hAnsi="Calibri"/>
          <w:lang w:eastAsia="en-US"/>
        </w:rPr>
        <w:t xml:space="preserve">, </w:t>
      </w:r>
      <w:r w:rsidR="009C653E" w:rsidRPr="00805467">
        <w:rPr>
          <w:rFonts w:ascii="Calibri" w:eastAsia="Calibri" w:hAnsi="Calibri"/>
          <w:lang w:eastAsia="en-US"/>
        </w:rPr>
        <w:lastRenderedPageBreak/>
        <w:t>4.494/4.498</w:t>
      </w:r>
      <w:r w:rsidR="00BF3EE2" w:rsidRPr="00805467">
        <w:rPr>
          <w:rFonts w:ascii="Calibri" w:eastAsia="Calibri" w:hAnsi="Calibri"/>
          <w:lang w:eastAsia="en-US"/>
        </w:rPr>
        <w:t>, 5.168/5.171</w:t>
      </w:r>
      <w:r w:rsidR="00B42CEF" w:rsidRPr="00805467">
        <w:rPr>
          <w:rFonts w:ascii="Calibri" w:eastAsia="Calibri" w:hAnsi="Calibri"/>
          <w:lang w:eastAsia="en-US"/>
        </w:rPr>
        <w:t>, 5</w:t>
      </w:r>
      <w:r w:rsidR="00C13014" w:rsidRPr="00805467">
        <w:rPr>
          <w:rFonts w:ascii="Calibri" w:eastAsia="Calibri" w:hAnsi="Calibri"/>
          <w:lang w:eastAsia="en-US"/>
        </w:rPr>
        <w:t>.</w:t>
      </w:r>
      <w:r w:rsidR="00B42CEF" w:rsidRPr="00805467">
        <w:rPr>
          <w:rFonts w:ascii="Calibri" w:eastAsia="Calibri" w:hAnsi="Calibri"/>
          <w:lang w:eastAsia="en-US"/>
        </w:rPr>
        <w:t>639</w:t>
      </w:r>
      <w:r w:rsidR="00C13014" w:rsidRPr="00805467">
        <w:rPr>
          <w:rFonts w:ascii="Calibri" w:eastAsia="Calibri" w:hAnsi="Calibri"/>
          <w:lang w:eastAsia="en-US"/>
        </w:rPr>
        <w:t>/5.644</w:t>
      </w:r>
      <w:r w:rsidR="002753E9" w:rsidRPr="00805467">
        <w:rPr>
          <w:rFonts w:ascii="Calibri" w:eastAsia="Calibri" w:hAnsi="Calibri"/>
          <w:lang w:eastAsia="en-US"/>
        </w:rPr>
        <w:t>, 6.150/6.154</w:t>
      </w:r>
      <w:r w:rsidR="00B06D84" w:rsidRPr="00805467">
        <w:rPr>
          <w:rFonts w:ascii="Calibri" w:eastAsia="Calibri" w:hAnsi="Calibri"/>
          <w:lang w:eastAsia="en-US"/>
        </w:rPr>
        <w:t>, 6.463/6.</w:t>
      </w:r>
      <w:r w:rsidR="003D5970" w:rsidRPr="00805467">
        <w:rPr>
          <w:rFonts w:ascii="Calibri" w:eastAsia="Calibri" w:hAnsi="Calibri"/>
          <w:lang w:eastAsia="en-US"/>
        </w:rPr>
        <w:t>467</w:t>
      </w:r>
      <w:r w:rsidR="00C82C22" w:rsidRPr="00805467">
        <w:rPr>
          <w:rFonts w:ascii="Calibri" w:eastAsia="Calibri" w:hAnsi="Calibri"/>
          <w:lang w:eastAsia="en-US"/>
        </w:rPr>
        <w:t>, 6.536/6.539</w:t>
      </w:r>
      <w:r w:rsidR="00CB4DD4" w:rsidRPr="00805467">
        <w:rPr>
          <w:rFonts w:ascii="Calibri" w:eastAsia="Calibri" w:hAnsi="Calibri"/>
          <w:lang w:eastAsia="en-US"/>
        </w:rPr>
        <w:t>, 6.883/6.888</w:t>
      </w:r>
      <w:r w:rsidR="00396EEB" w:rsidRPr="00805467">
        <w:rPr>
          <w:rFonts w:ascii="Calibri" w:eastAsia="Calibri" w:hAnsi="Calibri"/>
          <w:lang w:eastAsia="en-US"/>
        </w:rPr>
        <w:t xml:space="preserve"> e 7.454/7.458</w:t>
      </w:r>
      <w:r w:rsidR="006F6E91" w:rsidRPr="00805467">
        <w:rPr>
          <w:rFonts w:ascii="Calibri" w:eastAsia="Calibri" w:hAnsi="Calibri"/>
          <w:lang w:eastAsia="en-US"/>
        </w:rPr>
        <w:t>)</w:t>
      </w:r>
      <w:r w:rsidR="00396EEB" w:rsidRPr="00805467">
        <w:rPr>
          <w:rFonts w:ascii="Calibri" w:eastAsia="Calibri" w:hAnsi="Calibri"/>
          <w:lang w:eastAsia="en-US"/>
        </w:rPr>
        <w:t>.</w:t>
      </w:r>
      <w:r w:rsidR="00396EEB">
        <w:rPr>
          <w:rFonts w:ascii="Calibri" w:eastAsia="Calibri" w:hAnsi="Calibri"/>
          <w:lang w:eastAsia="en-US"/>
        </w:rPr>
        <w:t xml:space="preserve"> </w:t>
      </w:r>
    </w:p>
    <w:p w:rsidR="00A14ACB" w:rsidRDefault="00A14ACB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0C2077" w:rsidRDefault="000C2077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A SABESP enviou nova Nota Técnica, juntamente com os </w:t>
      </w:r>
      <w:r w:rsidRPr="00EA4D87">
        <w:rPr>
          <w:rFonts w:ascii="Calibri" w:eastAsia="Calibri" w:hAnsi="Calibri"/>
          <w:u w:val="single"/>
          <w:lang w:eastAsia="en-US"/>
        </w:rPr>
        <w:t>planos de contingências</w:t>
      </w:r>
      <w:r w:rsidR="00EA4D87">
        <w:rPr>
          <w:rFonts w:ascii="Calibri" w:eastAsia="Calibri" w:hAnsi="Calibri"/>
          <w:lang w:eastAsia="en-US"/>
        </w:rPr>
        <w:t xml:space="preserve"> apresentado</w:t>
      </w:r>
      <w:r>
        <w:rPr>
          <w:rFonts w:ascii="Calibri" w:eastAsia="Calibri" w:hAnsi="Calibri"/>
          <w:lang w:eastAsia="en-US"/>
        </w:rPr>
        <w:t xml:space="preserve">s </w:t>
      </w:r>
      <w:r w:rsidR="00F10F5F">
        <w:rPr>
          <w:rFonts w:ascii="Calibri" w:eastAsia="Calibri" w:hAnsi="Calibri"/>
          <w:lang w:eastAsia="en-US"/>
        </w:rPr>
        <w:t>aos</w:t>
      </w:r>
      <w:r>
        <w:rPr>
          <w:rFonts w:ascii="Calibri" w:eastAsia="Calibri" w:hAnsi="Calibri"/>
          <w:lang w:eastAsia="en-US"/>
        </w:rPr>
        <w:t xml:space="preserve"> órgãos gestores dos recursos hídricos (fls. 1.239/1.346). </w:t>
      </w:r>
    </w:p>
    <w:p w:rsidR="00D57B7E" w:rsidRDefault="00D57B7E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0C2077" w:rsidRDefault="00C64ACB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Por seu turno, o DAEE respondeu a ofício expedido por este Núcleo apresentando informações sobre autorização para intervenções em recursos hídricos na RMSP (fls. 1.404/1.522). </w:t>
      </w:r>
    </w:p>
    <w:p w:rsidR="00C64ACB" w:rsidRDefault="00C64ACB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0C2077" w:rsidRDefault="000C2077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0C2077">
        <w:rPr>
          <w:rFonts w:ascii="Calibri" w:eastAsia="Calibri" w:hAnsi="Calibri"/>
          <w:lang w:eastAsia="en-US"/>
        </w:rPr>
        <w:t xml:space="preserve">Foram, também, expedidas </w:t>
      </w:r>
      <w:r w:rsidRPr="00AC0C29">
        <w:rPr>
          <w:rFonts w:ascii="Calibri" w:eastAsia="Calibri" w:hAnsi="Calibri"/>
          <w:u w:val="single"/>
          <w:lang w:eastAsia="en-US"/>
        </w:rPr>
        <w:t>recomendações à SABESP</w:t>
      </w:r>
      <w:r>
        <w:rPr>
          <w:rFonts w:ascii="Calibri" w:eastAsia="Calibri" w:hAnsi="Calibri"/>
          <w:lang w:eastAsia="en-US"/>
        </w:rPr>
        <w:t xml:space="preserve"> (</w:t>
      </w:r>
      <w:r w:rsidR="00851FA7">
        <w:rPr>
          <w:rFonts w:ascii="Calibri" w:eastAsia="Calibri" w:hAnsi="Calibri"/>
          <w:lang w:eastAsia="en-US"/>
        </w:rPr>
        <w:t xml:space="preserve">em especial a de </w:t>
      </w:r>
      <w:r>
        <w:rPr>
          <w:rFonts w:ascii="Calibri" w:eastAsia="Calibri" w:hAnsi="Calibri"/>
          <w:lang w:eastAsia="en-US"/>
        </w:rPr>
        <w:t>fls. 1.348/1.354)</w:t>
      </w:r>
      <w:r w:rsidRPr="000C2077">
        <w:rPr>
          <w:rFonts w:ascii="Calibri" w:eastAsia="Calibri" w:hAnsi="Calibri"/>
          <w:lang w:eastAsia="en-US"/>
        </w:rPr>
        <w:t xml:space="preserve">, com vistas a </w:t>
      </w:r>
      <w:r w:rsidRPr="00AC0C29">
        <w:rPr>
          <w:rFonts w:ascii="Calibri" w:eastAsia="Calibri" w:hAnsi="Calibri"/>
          <w:u w:val="single"/>
          <w:lang w:eastAsia="en-US"/>
        </w:rPr>
        <w:t>divulgação de índices reais e negativos de armazenamento do Sistema Cantareira</w:t>
      </w:r>
      <w:r w:rsidRPr="000C2077">
        <w:rPr>
          <w:rFonts w:ascii="Calibri" w:eastAsia="Calibri" w:hAnsi="Calibri"/>
          <w:lang w:eastAsia="en-US"/>
        </w:rPr>
        <w:t xml:space="preserve">, sendo certo que, ante a recusa de atendimento, foi ajuizada, em conjunto </w:t>
      </w:r>
      <w:r w:rsidR="00F10F5F">
        <w:rPr>
          <w:rFonts w:ascii="Calibri" w:eastAsia="Calibri" w:hAnsi="Calibri"/>
          <w:lang w:eastAsia="en-US"/>
        </w:rPr>
        <w:t>com E.</w:t>
      </w:r>
      <w:r w:rsidRPr="000C2077">
        <w:rPr>
          <w:rFonts w:ascii="Calibri" w:eastAsia="Calibri" w:hAnsi="Calibri"/>
          <w:lang w:eastAsia="en-US"/>
        </w:rPr>
        <w:t xml:space="preserve"> Promotoria de Justiça de Meio Ambiente da Capital, ação civil públ</w:t>
      </w:r>
      <w:r>
        <w:rPr>
          <w:rFonts w:ascii="Calibri" w:eastAsia="Calibri" w:hAnsi="Calibri"/>
          <w:lang w:eastAsia="en-US"/>
        </w:rPr>
        <w:t>ica</w:t>
      </w:r>
      <w:r w:rsidRPr="000C2077">
        <w:rPr>
          <w:rFonts w:ascii="Calibri" w:eastAsia="Calibri" w:hAnsi="Calibri"/>
          <w:lang w:eastAsia="en-US"/>
        </w:rPr>
        <w:t xml:space="preserve"> (</w:t>
      </w:r>
      <w:r w:rsidR="00851FA7" w:rsidRPr="00AC0C29">
        <w:rPr>
          <w:rFonts w:ascii="Calibri" w:eastAsia="Calibri" w:hAnsi="Calibri"/>
          <w:u w:val="single"/>
          <w:lang w:eastAsia="en-US"/>
        </w:rPr>
        <w:t xml:space="preserve">autos nº </w:t>
      </w:r>
      <w:r w:rsidRPr="00AC0C29">
        <w:rPr>
          <w:rFonts w:ascii="Calibri" w:eastAsia="Calibri" w:hAnsi="Calibri"/>
          <w:u w:val="single"/>
          <w:lang w:eastAsia="en-US"/>
        </w:rPr>
        <w:t xml:space="preserve">1013197.21.2015.8.26.0053 </w:t>
      </w:r>
      <w:r w:rsidR="00851FA7" w:rsidRPr="00AC0C29">
        <w:rPr>
          <w:rFonts w:ascii="Calibri" w:eastAsia="Calibri" w:hAnsi="Calibri"/>
          <w:u w:val="single"/>
          <w:lang w:eastAsia="en-US"/>
        </w:rPr>
        <w:t>–</w:t>
      </w:r>
      <w:r w:rsidRPr="00AC0C29">
        <w:rPr>
          <w:rFonts w:ascii="Calibri" w:eastAsia="Calibri" w:hAnsi="Calibri"/>
          <w:u w:val="single"/>
          <w:lang w:eastAsia="en-US"/>
        </w:rPr>
        <w:t xml:space="preserve"> 7</w:t>
      </w:r>
      <w:r w:rsidR="00851FA7" w:rsidRPr="00AC0C29">
        <w:rPr>
          <w:rFonts w:ascii="Calibri" w:eastAsia="Calibri" w:hAnsi="Calibri"/>
          <w:u w:val="single"/>
          <w:lang w:eastAsia="en-US"/>
        </w:rPr>
        <w:t>ª</w:t>
      </w:r>
      <w:r w:rsidRPr="00AC0C29">
        <w:rPr>
          <w:rFonts w:ascii="Calibri" w:eastAsia="Calibri" w:hAnsi="Calibri"/>
          <w:u w:val="single"/>
          <w:lang w:eastAsia="en-US"/>
        </w:rPr>
        <w:t xml:space="preserve"> Vara da Fazenda Pública da Capital</w:t>
      </w:r>
      <w:r w:rsidRPr="000C2077">
        <w:rPr>
          <w:rFonts w:ascii="Calibri" w:eastAsia="Calibri" w:hAnsi="Calibri"/>
          <w:lang w:eastAsia="en-US"/>
        </w:rPr>
        <w:t>), com liminar deferida</w:t>
      </w:r>
      <w:r w:rsidR="00851FA7">
        <w:rPr>
          <w:rFonts w:ascii="Calibri" w:eastAsia="Calibri" w:hAnsi="Calibri"/>
          <w:lang w:eastAsia="en-US"/>
        </w:rPr>
        <w:t xml:space="preserve"> (fls. 1</w:t>
      </w:r>
      <w:r w:rsidRPr="000C2077">
        <w:rPr>
          <w:rFonts w:ascii="Calibri" w:eastAsia="Calibri" w:hAnsi="Calibri"/>
          <w:lang w:eastAsia="en-US"/>
        </w:rPr>
        <w:t>.</w:t>
      </w:r>
      <w:r w:rsidR="00851FA7">
        <w:rPr>
          <w:rFonts w:ascii="Calibri" w:eastAsia="Calibri" w:hAnsi="Calibri"/>
          <w:lang w:eastAsia="en-US"/>
        </w:rPr>
        <w:t>614/1.645</w:t>
      </w:r>
      <w:r w:rsidR="0096285C">
        <w:rPr>
          <w:rFonts w:ascii="Calibri" w:eastAsia="Calibri" w:hAnsi="Calibri"/>
          <w:lang w:eastAsia="en-US"/>
        </w:rPr>
        <w:t xml:space="preserve"> e 1.685/1.6</w:t>
      </w:r>
      <w:r w:rsidR="00AD3E37">
        <w:rPr>
          <w:rFonts w:ascii="Calibri" w:eastAsia="Calibri" w:hAnsi="Calibri"/>
          <w:lang w:eastAsia="en-US"/>
        </w:rPr>
        <w:t>8</w:t>
      </w:r>
      <w:r w:rsidR="0096285C">
        <w:rPr>
          <w:rFonts w:ascii="Calibri" w:eastAsia="Calibri" w:hAnsi="Calibri"/>
          <w:lang w:eastAsia="en-US"/>
        </w:rPr>
        <w:t xml:space="preserve">7). </w:t>
      </w:r>
    </w:p>
    <w:p w:rsidR="00C64ACB" w:rsidRDefault="00C64ACB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64ACB" w:rsidRDefault="00C64ACB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Informações acerca dos </w:t>
      </w:r>
      <w:r w:rsidRPr="00EA4D87">
        <w:rPr>
          <w:rFonts w:ascii="Calibri" w:eastAsia="Calibri" w:hAnsi="Calibri"/>
          <w:u w:val="single"/>
          <w:lang w:eastAsia="en-US"/>
        </w:rPr>
        <w:t xml:space="preserve">contratos </w:t>
      </w:r>
      <w:r w:rsidRPr="00805467">
        <w:rPr>
          <w:rFonts w:ascii="Calibri" w:eastAsia="Calibri" w:hAnsi="Calibri"/>
          <w:u w:val="single"/>
          <w:lang w:eastAsia="en-US"/>
        </w:rPr>
        <w:t>de demanda firme</w:t>
      </w:r>
      <w:r w:rsidRPr="00805467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foram acostadas pela SABESP às fls. </w:t>
      </w:r>
      <w:r w:rsidR="009E7AB1">
        <w:rPr>
          <w:rFonts w:ascii="Calibri" w:eastAsia="Calibri" w:hAnsi="Calibri"/>
          <w:lang w:eastAsia="en-US"/>
        </w:rPr>
        <w:t>1.537/1.542</w:t>
      </w:r>
      <w:r w:rsidR="0096285C">
        <w:rPr>
          <w:rFonts w:ascii="Calibri" w:eastAsia="Calibri" w:hAnsi="Calibri"/>
          <w:lang w:eastAsia="en-US"/>
        </w:rPr>
        <w:t xml:space="preserve">, </w:t>
      </w:r>
      <w:r w:rsidR="009E7AB1">
        <w:rPr>
          <w:rFonts w:ascii="Calibri" w:eastAsia="Calibri" w:hAnsi="Calibri"/>
          <w:lang w:eastAsia="en-US"/>
        </w:rPr>
        <w:t>1.557/1.567</w:t>
      </w:r>
      <w:r w:rsidR="00D7288F">
        <w:rPr>
          <w:rFonts w:ascii="Calibri" w:eastAsia="Calibri" w:hAnsi="Calibri"/>
          <w:lang w:eastAsia="en-US"/>
        </w:rPr>
        <w:t>,</w:t>
      </w:r>
      <w:r w:rsidR="0096285C">
        <w:rPr>
          <w:rFonts w:ascii="Calibri" w:eastAsia="Calibri" w:hAnsi="Calibri"/>
          <w:lang w:eastAsia="en-US"/>
        </w:rPr>
        <w:t xml:space="preserve"> 1.712/1.715</w:t>
      </w:r>
      <w:r w:rsidR="0083325A">
        <w:rPr>
          <w:rFonts w:ascii="Calibri" w:eastAsia="Calibri" w:hAnsi="Calibri"/>
          <w:lang w:eastAsia="en-US"/>
        </w:rPr>
        <w:t>,</w:t>
      </w:r>
      <w:r w:rsidR="00D7288F">
        <w:rPr>
          <w:rFonts w:ascii="Calibri" w:eastAsia="Calibri" w:hAnsi="Calibri"/>
          <w:lang w:eastAsia="en-US"/>
        </w:rPr>
        <w:t xml:space="preserve"> </w:t>
      </w:r>
      <w:r w:rsidR="00D7288F" w:rsidRPr="00805467">
        <w:rPr>
          <w:rFonts w:ascii="Calibri" w:eastAsia="Calibri" w:hAnsi="Calibri"/>
          <w:lang w:eastAsia="en-US"/>
        </w:rPr>
        <w:t>2.506/2.597</w:t>
      </w:r>
      <w:r w:rsidR="00B42CEF" w:rsidRPr="00805467">
        <w:rPr>
          <w:rFonts w:ascii="Calibri" w:eastAsia="Calibri" w:hAnsi="Calibri"/>
          <w:lang w:eastAsia="en-US"/>
        </w:rPr>
        <w:t>,</w:t>
      </w:r>
      <w:r w:rsidR="0083325A" w:rsidRPr="00805467">
        <w:rPr>
          <w:rFonts w:ascii="Calibri" w:eastAsia="Calibri" w:hAnsi="Calibri"/>
          <w:lang w:eastAsia="en-US"/>
        </w:rPr>
        <w:t xml:space="preserve"> 3.709/3.863</w:t>
      </w:r>
      <w:r w:rsidR="00AA740C" w:rsidRPr="00805467">
        <w:rPr>
          <w:rFonts w:ascii="Calibri" w:eastAsia="Calibri" w:hAnsi="Calibri"/>
          <w:lang w:eastAsia="en-US"/>
        </w:rPr>
        <w:t>,</w:t>
      </w:r>
      <w:r w:rsidR="00B42CEF" w:rsidRPr="00805467">
        <w:rPr>
          <w:rFonts w:ascii="Calibri" w:eastAsia="Calibri" w:hAnsi="Calibri"/>
          <w:lang w:eastAsia="en-US"/>
        </w:rPr>
        <w:t xml:space="preserve"> 5.580/5.590</w:t>
      </w:r>
      <w:r w:rsidR="00AA740C" w:rsidRPr="00805467">
        <w:rPr>
          <w:rFonts w:ascii="Calibri" w:eastAsia="Calibri" w:hAnsi="Calibri"/>
          <w:lang w:eastAsia="en-US"/>
        </w:rPr>
        <w:t>, 6.119/6.121</w:t>
      </w:r>
      <w:r w:rsidR="003D5970" w:rsidRPr="00805467">
        <w:rPr>
          <w:rFonts w:ascii="Calibri" w:eastAsia="Calibri" w:hAnsi="Calibri"/>
          <w:lang w:eastAsia="en-US"/>
        </w:rPr>
        <w:t xml:space="preserve">, </w:t>
      </w:r>
      <w:r w:rsidR="00AA740C" w:rsidRPr="00805467">
        <w:rPr>
          <w:rFonts w:ascii="Calibri" w:eastAsia="Calibri" w:hAnsi="Calibri"/>
          <w:lang w:eastAsia="en-US"/>
        </w:rPr>
        <w:t>6.123/6.126</w:t>
      </w:r>
      <w:r w:rsidR="00805467">
        <w:rPr>
          <w:rFonts w:ascii="Calibri" w:eastAsia="Calibri" w:hAnsi="Calibri"/>
          <w:lang w:eastAsia="en-US"/>
        </w:rPr>
        <w:t xml:space="preserve"> e</w:t>
      </w:r>
      <w:r w:rsidR="003D5970" w:rsidRPr="00805467">
        <w:rPr>
          <w:rFonts w:ascii="Calibri" w:eastAsia="Calibri" w:hAnsi="Calibri"/>
          <w:lang w:eastAsia="en-US"/>
        </w:rPr>
        <w:t xml:space="preserve"> 6.565/6.568</w:t>
      </w:r>
      <w:r w:rsidR="0096285C">
        <w:rPr>
          <w:rFonts w:ascii="Calibri" w:eastAsia="Calibri" w:hAnsi="Calibri"/>
          <w:lang w:eastAsia="en-US"/>
        </w:rPr>
        <w:t xml:space="preserve">. Decisão acerca do fornecimento de tais contratos, exarada pela Corregedoria Geral da Administração do Governo do Estado de São Paulo, </w:t>
      </w:r>
      <w:r w:rsidR="00AD3E37">
        <w:rPr>
          <w:rFonts w:ascii="Calibri" w:eastAsia="Calibri" w:hAnsi="Calibri"/>
          <w:lang w:eastAsia="en-US"/>
        </w:rPr>
        <w:t xml:space="preserve">foi </w:t>
      </w:r>
      <w:r w:rsidR="0096285C">
        <w:rPr>
          <w:rFonts w:ascii="Calibri" w:eastAsia="Calibri" w:hAnsi="Calibri"/>
          <w:lang w:eastAsia="en-US"/>
        </w:rPr>
        <w:t xml:space="preserve">acostada às fls. 1.755/1.800. </w:t>
      </w:r>
      <w:r w:rsidR="0083325A">
        <w:rPr>
          <w:rFonts w:ascii="Calibri" w:eastAsia="Calibri" w:hAnsi="Calibri"/>
          <w:lang w:eastAsia="en-US"/>
        </w:rPr>
        <w:t xml:space="preserve">Relatórios de consumo e faturamento relativos a tais contratos foram acostados em apenso (Apenso 8). </w:t>
      </w:r>
    </w:p>
    <w:p w:rsidR="009E7AB1" w:rsidRDefault="009E7AB1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96285C" w:rsidRDefault="0096285C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96285C">
        <w:rPr>
          <w:rFonts w:ascii="Calibri" w:eastAsia="Calibri" w:hAnsi="Calibri"/>
          <w:lang w:eastAsia="en-US"/>
        </w:rPr>
        <w:t xml:space="preserve">Foram, também, </w:t>
      </w:r>
      <w:r w:rsidRPr="00EA4D87">
        <w:rPr>
          <w:rFonts w:ascii="Calibri" w:eastAsia="Calibri" w:hAnsi="Calibri"/>
          <w:u w:val="single"/>
          <w:lang w:eastAsia="en-US"/>
        </w:rPr>
        <w:t>expedidas recomendações à ANA e a</w:t>
      </w:r>
      <w:r w:rsidR="00AD3E37">
        <w:rPr>
          <w:rFonts w:ascii="Calibri" w:eastAsia="Calibri" w:hAnsi="Calibri"/>
          <w:u w:val="single"/>
          <w:lang w:eastAsia="en-US"/>
        </w:rPr>
        <w:t>o</w:t>
      </w:r>
      <w:r w:rsidRPr="00EA4D87">
        <w:rPr>
          <w:rFonts w:ascii="Calibri" w:eastAsia="Calibri" w:hAnsi="Calibri"/>
          <w:u w:val="single"/>
          <w:lang w:eastAsia="en-US"/>
        </w:rPr>
        <w:t xml:space="preserve"> DAEE</w:t>
      </w:r>
      <w:r w:rsidRPr="0096285C">
        <w:rPr>
          <w:rFonts w:ascii="Calibri" w:eastAsia="Calibri" w:hAnsi="Calibri"/>
          <w:lang w:eastAsia="en-US"/>
        </w:rPr>
        <w:t>, no sentido de que, tendo sido recuperada a segunda parcela do</w:t>
      </w:r>
      <w:r>
        <w:rPr>
          <w:rFonts w:ascii="Calibri" w:eastAsia="Calibri" w:hAnsi="Calibri"/>
          <w:lang w:eastAsia="en-US"/>
        </w:rPr>
        <w:t xml:space="preserve"> </w:t>
      </w:r>
      <w:r w:rsidRPr="0096285C">
        <w:rPr>
          <w:rFonts w:ascii="Calibri" w:eastAsia="Calibri" w:hAnsi="Calibri"/>
          <w:lang w:eastAsia="en-US"/>
        </w:rPr>
        <w:t xml:space="preserve">volume morto do Sistema Cantareira, fosse providenciada a revogação da portaria que autorizou o seu uso excepcional, ao que se respondeu ser impossível, </w:t>
      </w:r>
      <w:r w:rsidR="00EA4D87">
        <w:rPr>
          <w:rFonts w:ascii="Calibri" w:eastAsia="Calibri" w:hAnsi="Calibri"/>
          <w:lang w:eastAsia="en-US"/>
        </w:rPr>
        <w:t>naquele momento</w:t>
      </w:r>
      <w:r w:rsidRPr="0096285C">
        <w:rPr>
          <w:rFonts w:ascii="Calibri" w:eastAsia="Calibri" w:hAnsi="Calibri"/>
          <w:lang w:eastAsia="en-US"/>
        </w:rPr>
        <w:t>, o acatamento dessa recomendação, tendo em vista que, com o início do período de estiagem, segundo cenários apresentados pela própria SABESP, haver</w:t>
      </w:r>
      <w:r w:rsidR="00AC0C29">
        <w:rPr>
          <w:rFonts w:ascii="Calibri" w:eastAsia="Calibri" w:hAnsi="Calibri"/>
          <w:lang w:eastAsia="en-US"/>
        </w:rPr>
        <w:t>ia</w:t>
      </w:r>
      <w:r w:rsidRPr="0096285C">
        <w:rPr>
          <w:rFonts w:ascii="Calibri" w:eastAsia="Calibri" w:hAnsi="Calibri"/>
          <w:lang w:eastAsia="en-US"/>
        </w:rPr>
        <w:t xml:space="preserve"> provável necessidade de se recorrer a esta segunda parcela do volume morto</w:t>
      </w:r>
      <w:r>
        <w:rPr>
          <w:rFonts w:ascii="Calibri" w:eastAsia="Calibri" w:hAnsi="Calibri"/>
          <w:lang w:eastAsia="en-US"/>
        </w:rPr>
        <w:t xml:space="preserve"> (fls. 1.807/1.809 e 1.835/1.837)</w:t>
      </w:r>
      <w:r w:rsidRPr="0096285C">
        <w:rPr>
          <w:rFonts w:ascii="Calibri" w:eastAsia="Calibri" w:hAnsi="Calibri"/>
          <w:lang w:eastAsia="en-US"/>
        </w:rPr>
        <w:t>.</w:t>
      </w:r>
    </w:p>
    <w:p w:rsidR="0096285C" w:rsidRDefault="0096285C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96285C" w:rsidRDefault="0096285C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Informações do DAEE sobre a </w:t>
      </w:r>
      <w:r w:rsidRPr="00EA4D87">
        <w:rPr>
          <w:rFonts w:ascii="Calibri" w:eastAsia="Calibri" w:hAnsi="Calibri"/>
          <w:u w:val="single"/>
          <w:lang w:eastAsia="en-US"/>
        </w:rPr>
        <w:t xml:space="preserve">transferência de vazões entre rios e reservatórios </w:t>
      </w:r>
      <w:r w:rsidR="00CD48E3" w:rsidRPr="00EA4D87">
        <w:rPr>
          <w:rFonts w:ascii="Calibri" w:eastAsia="Calibri" w:hAnsi="Calibri"/>
          <w:u w:val="single"/>
          <w:lang w:eastAsia="en-US"/>
        </w:rPr>
        <w:t>do Sistema Produtor do Alto Tietê</w:t>
      </w:r>
      <w:r>
        <w:rPr>
          <w:rFonts w:ascii="Calibri" w:eastAsia="Calibri" w:hAnsi="Calibri"/>
          <w:lang w:eastAsia="en-US"/>
        </w:rPr>
        <w:t xml:space="preserve"> às fls. 1.811/1833. </w:t>
      </w:r>
    </w:p>
    <w:p w:rsidR="00004994" w:rsidRDefault="00004994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AC0C29" w:rsidRDefault="000F008F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Deliberação da ARSESP, autorizando a SABESP a adotar </w:t>
      </w:r>
      <w:r w:rsidRPr="00EA4D87">
        <w:rPr>
          <w:rFonts w:ascii="Calibri" w:eastAsia="Calibri" w:hAnsi="Calibri"/>
          <w:u w:val="single"/>
          <w:lang w:eastAsia="en-US"/>
        </w:rPr>
        <w:t>tarifa de contingência</w:t>
      </w:r>
      <w:r>
        <w:rPr>
          <w:rFonts w:ascii="Calibri" w:eastAsia="Calibri" w:hAnsi="Calibri"/>
          <w:lang w:eastAsia="en-US"/>
        </w:rPr>
        <w:t xml:space="preserve">, às fls. 1.875/1.877. </w:t>
      </w:r>
    </w:p>
    <w:p w:rsidR="00AC0C29" w:rsidRDefault="00AC0C29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AC0C29" w:rsidRDefault="000F008F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Na sequência, acostou-se manifestação dos </w:t>
      </w:r>
      <w:proofErr w:type="spellStart"/>
      <w:r>
        <w:rPr>
          <w:rFonts w:ascii="Calibri" w:eastAsia="Calibri" w:hAnsi="Calibri"/>
          <w:lang w:eastAsia="en-US"/>
        </w:rPr>
        <w:t>GAEMAs</w:t>
      </w:r>
      <w:proofErr w:type="spellEnd"/>
      <w:r>
        <w:rPr>
          <w:rFonts w:ascii="Calibri" w:eastAsia="Calibri" w:hAnsi="Calibri"/>
          <w:lang w:eastAsia="en-US"/>
        </w:rPr>
        <w:t xml:space="preserve"> PCJ- Piracicaba e Cabeceiras nos autos nº 0005930-92.2014.4</w:t>
      </w:r>
      <w:r w:rsidR="00DC6ED3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>03.6109,</w:t>
      </w:r>
      <w:r w:rsidR="008F4E57">
        <w:rPr>
          <w:rFonts w:ascii="Calibri" w:eastAsia="Calibri" w:hAnsi="Calibri"/>
          <w:lang w:eastAsia="en-US"/>
        </w:rPr>
        <w:t xml:space="preserve"> em trâmite na Justiça Federal,</w:t>
      </w:r>
      <w:r>
        <w:rPr>
          <w:rFonts w:ascii="Calibri" w:eastAsia="Calibri" w:hAnsi="Calibri"/>
          <w:lang w:eastAsia="en-US"/>
        </w:rPr>
        <w:t xml:space="preserve"> que trata da outorga do Sistema Cant</w:t>
      </w:r>
      <w:r w:rsidR="00E85FC0">
        <w:rPr>
          <w:rFonts w:ascii="Calibri" w:eastAsia="Calibri" w:hAnsi="Calibri"/>
          <w:lang w:eastAsia="en-US"/>
        </w:rPr>
        <w:t>a</w:t>
      </w:r>
      <w:r>
        <w:rPr>
          <w:rFonts w:ascii="Calibri" w:eastAsia="Calibri" w:hAnsi="Calibri"/>
          <w:lang w:eastAsia="en-US"/>
        </w:rPr>
        <w:t>reira</w:t>
      </w:r>
      <w:r w:rsidR="00E85FC0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(fls. 1.883/1.912</w:t>
      </w:r>
      <w:r w:rsidR="00E85FC0">
        <w:rPr>
          <w:rFonts w:ascii="Calibri" w:eastAsia="Calibri" w:hAnsi="Calibri"/>
          <w:lang w:eastAsia="en-US"/>
        </w:rPr>
        <w:t>).</w:t>
      </w:r>
    </w:p>
    <w:p w:rsidR="00E85FC0" w:rsidRDefault="00E85FC0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5FC0" w:rsidRDefault="00E85FC0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Comunicado conjunto ANA</w:t>
      </w:r>
      <w:r w:rsidR="003B6B6A">
        <w:rPr>
          <w:rFonts w:ascii="Calibri" w:eastAsia="Calibri" w:hAnsi="Calibri"/>
          <w:lang w:eastAsia="en-US"/>
        </w:rPr>
        <w:t>/DAEE autorizando o aumento dos limites de vazões de retirada do Sistema Cantareira para o período de 01/06/2015 a 30/11/2015 acostada à fl. 1.922.</w:t>
      </w:r>
    </w:p>
    <w:p w:rsidR="00E85FC0" w:rsidRDefault="00E85FC0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3B6B6A" w:rsidRDefault="003B6B6A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Documentação oriunda do Tribunal de Contas do Estado de São Paulo juntada às fls. 1.961/</w:t>
      </w:r>
      <w:r w:rsidR="00E60FA6">
        <w:rPr>
          <w:rFonts w:ascii="Calibri" w:eastAsia="Calibri" w:hAnsi="Calibri"/>
          <w:lang w:eastAsia="en-US"/>
        </w:rPr>
        <w:t xml:space="preserve">1.988 e cópias do IC nº 08/2015, também em trâmite neste Núcleo GAEMA, relacionado às obras visando ao reforço do Sistema Produtor Alto Tietê, às fls. 1.992/2001-A. </w:t>
      </w:r>
    </w:p>
    <w:p w:rsidR="00E85FC0" w:rsidRDefault="00E85FC0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8F4E57" w:rsidRDefault="008F4E57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Documento da SABESP acerca do enfretamento da crise hídrica na RMSP acostado às fls. 2.021/2.076. Já a documentação acerca das obras que seriam/estavam sendo realizadas se encontra às fls. 2.078/2.082. </w:t>
      </w:r>
    </w:p>
    <w:p w:rsidR="008F4E57" w:rsidRDefault="008F4E57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8F4E57" w:rsidRDefault="001A42FF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Outrossim</w:t>
      </w:r>
      <w:r w:rsidR="008F4E57">
        <w:rPr>
          <w:rFonts w:ascii="Calibri" w:eastAsia="Calibri" w:hAnsi="Calibri"/>
          <w:lang w:eastAsia="en-US"/>
        </w:rPr>
        <w:t xml:space="preserve">, cópias </w:t>
      </w:r>
      <w:r w:rsidR="008F4E57" w:rsidRPr="008F4E57">
        <w:rPr>
          <w:rFonts w:ascii="Calibri" w:eastAsia="Calibri" w:hAnsi="Calibri"/>
          <w:lang w:eastAsia="en-US"/>
        </w:rPr>
        <w:t>d</w:t>
      </w:r>
      <w:r w:rsidR="008F4E57">
        <w:rPr>
          <w:rFonts w:ascii="Calibri" w:eastAsia="Calibri" w:hAnsi="Calibri"/>
          <w:lang w:eastAsia="en-US"/>
        </w:rPr>
        <w:t xml:space="preserve">e peças dos </w:t>
      </w:r>
      <w:r w:rsidR="008F4E57" w:rsidRPr="008F4E57">
        <w:rPr>
          <w:rFonts w:ascii="Calibri" w:eastAsia="Calibri" w:hAnsi="Calibri"/>
          <w:lang w:eastAsia="en-US"/>
        </w:rPr>
        <w:t>autos nº 1013197.21.2015.8.26.0053</w:t>
      </w:r>
      <w:r w:rsidR="008F4E57">
        <w:rPr>
          <w:rFonts w:ascii="Calibri" w:eastAsia="Calibri" w:hAnsi="Calibri"/>
          <w:lang w:eastAsia="en-US"/>
        </w:rPr>
        <w:t xml:space="preserve"> foram juntadas às fls. 2.084/2.099</w:t>
      </w:r>
      <w:r w:rsidR="00914048">
        <w:rPr>
          <w:rFonts w:ascii="Calibri" w:eastAsia="Calibri" w:hAnsi="Calibri"/>
          <w:lang w:eastAsia="en-US"/>
        </w:rPr>
        <w:t xml:space="preserve"> (ação julgada parcialmente procedente para “</w:t>
      </w:r>
      <w:r w:rsidR="00914048" w:rsidRPr="00914048">
        <w:rPr>
          <w:rFonts w:ascii="Calibri" w:eastAsia="Calibri" w:hAnsi="Calibri"/>
          <w:i/>
          <w:lang w:eastAsia="en-US"/>
        </w:rPr>
        <w:t>determinar que a ré, no prazo de dez dias, além das informações que entender necessárias quanto ao Volume Real do Sistema, preste informações corretas e adequadas (com índices negativos, quando aferidos) em relação ao Volume Útil do Sistema, ou seja, sem a utilização das reservas técnicas</w:t>
      </w:r>
      <w:r w:rsidR="00914048">
        <w:rPr>
          <w:rFonts w:ascii="Calibri" w:eastAsia="Calibri" w:hAnsi="Calibri"/>
          <w:lang w:eastAsia="en-US"/>
        </w:rPr>
        <w:t>”</w:t>
      </w:r>
      <w:r w:rsidR="008070D2">
        <w:rPr>
          <w:rFonts w:ascii="Calibri" w:eastAsia="Calibri" w:hAnsi="Calibri"/>
          <w:lang w:eastAsia="en-US"/>
        </w:rPr>
        <w:t>.</w:t>
      </w:r>
    </w:p>
    <w:p w:rsidR="008070D2" w:rsidRDefault="008070D2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8070D2" w:rsidRDefault="008070D2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Documentação oriunda do </w:t>
      </w:r>
      <w:r w:rsidRPr="0065603B">
        <w:rPr>
          <w:rFonts w:ascii="Calibri" w:eastAsia="Calibri" w:hAnsi="Calibri"/>
          <w:lang w:eastAsia="en-US"/>
        </w:rPr>
        <w:t xml:space="preserve">IC nº </w:t>
      </w:r>
      <w:r w:rsidR="00AE528C" w:rsidRPr="0065603B">
        <w:rPr>
          <w:rFonts w:ascii="Calibri" w:eastAsia="Calibri" w:hAnsi="Calibri"/>
          <w:lang w:eastAsia="en-US"/>
        </w:rPr>
        <w:t>14.1096.00000</w:t>
      </w:r>
      <w:r w:rsidRPr="0065603B">
        <w:rPr>
          <w:rFonts w:ascii="Calibri" w:eastAsia="Calibri" w:hAnsi="Calibri"/>
          <w:lang w:eastAsia="en-US"/>
        </w:rPr>
        <w:t xml:space="preserve">06/2013-9, em trâmite no GAEMA PCJ- Piracicaba, relativo à renovação da outorga </w:t>
      </w:r>
      <w:r w:rsidR="00EA4D87" w:rsidRPr="0065603B">
        <w:rPr>
          <w:rFonts w:ascii="Calibri" w:eastAsia="Calibri" w:hAnsi="Calibri"/>
          <w:lang w:eastAsia="en-US"/>
        </w:rPr>
        <w:t xml:space="preserve">do Sistema Cantareira </w:t>
      </w:r>
      <w:r w:rsidRPr="0065603B">
        <w:rPr>
          <w:rFonts w:ascii="Calibri" w:eastAsia="Calibri" w:hAnsi="Calibri"/>
          <w:lang w:eastAsia="en-US"/>
        </w:rPr>
        <w:t>e disponibilidade hídrica nas Bacias PCJ,</w:t>
      </w:r>
      <w:r>
        <w:rPr>
          <w:rFonts w:ascii="Calibri" w:eastAsia="Calibri" w:hAnsi="Calibri"/>
          <w:lang w:eastAsia="en-US"/>
        </w:rPr>
        <w:t xml:space="preserve"> </w:t>
      </w:r>
      <w:r w:rsidR="003B5301">
        <w:rPr>
          <w:rFonts w:ascii="Calibri" w:eastAsia="Calibri" w:hAnsi="Calibri"/>
          <w:lang w:eastAsia="en-US"/>
        </w:rPr>
        <w:t xml:space="preserve">foi </w:t>
      </w:r>
      <w:r>
        <w:rPr>
          <w:rFonts w:ascii="Calibri" w:eastAsia="Calibri" w:hAnsi="Calibri"/>
          <w:lang w:eastAsia="en-US"/>
        </w:rPr>
        <w:t xml:space="preserve">acostada às fls. </w:t>
      </w:r>
      <w:r>
        <w:rPr>
          <w:rFonts w:ascii="Calibri" w:eastAsia="Calibri" w:hAnsi="Calibri"/>
          <w:lang w:eastAsia="en-US"/>
        </w:rPr>
        <w:lastRenderedPageBreak/>
        <w:t>2.377/2.421</w:t>
      </w:r>
      <w:r w:rsidR="00D7288F">
        <w:rPr>
          <w:rFonts w:ascii="Calibri" w:eastAsia="Calibri" w:hAnsi="Calibri"/>
          <w:lang w:eastAsia="en-US"/>
        </w:rPr>
        <w:t>, 2.449/2.451</w:t>
      </w:r>
      <w:r w:rsidR="0083325A">
        <w:rPr>
          <w:rFonts w:ascii="Calibri" w:eastAsia="Calibri" w:hAnsi="Calibri"/>
          <w:lang w:eastAsia="en-US"/>
        </w:rPr>
        <w:t>,</w:t>
      </w:r>
      <w:r w:rsidR="00D7288F">
        <w:rPr>
          <w:rFonts w:ascii="Calibri" w:eastAsia="Calibri" w:hAnsi="Calibri"/>
          <w:lang w:eastAsia="en-US"/>
        </w:rPr>
        <w:t xml:space="preserve"> 2.45</w:t>
      </w:r>
      <w:r w:rsidR="00D7288F" w:rsidRPr="00B838D8">
        <w:rPr>
          <w:rFonts w:ascii="Calibri" w:eastAsia="Calibri" w:hAnsi="Calibri"/>
          <w:lang w:eastAsia="en-US"/>
        </w:rPr>
        <w:t>3/2.504</w:t>
      </w:r>
      <w:r w:rsidR="0083325A" w:rsidRPr="00B838D8">
        <w:rPr>
          <w:rFonts w:ascii="Calibri" w:eastAsia="Calibri" w:hAnsi="Calibri"/>
          <w:lang w:eastAsia="en-US"/>
        </w:rPr>
        <w:t>, 3.988/3.999, 4.004/4.025</w:t>
      </w:r>
      <w:r w:rsidR="0034742E" w:rsidRPr="00B838D8">
        <w:rPr>
          <w:rFonts w:ascii="Calibri" w:eastAsia="Calibri" w:hAnsi="Calibri"/>
          <w:lang w:eastAsia="en-US"/>
        </w:rPr>
        <w:t>, 4.928/4.954, 4.956/4.983</w:t>
      </w:r>
      <w:r w:rsidR="00BF3EE2" w:rsidRPr="00B838D8">
        <w:rPr>
          <w:rFonts w:ascii="Calibri" w:eastAsia="Calibri" w:hAnsi="Calibri"/>
          <w:lang w:eastAsia="en-US"/>
        </w:rPr>
        <w:t>, 5.143/5.148</w:t>
      </w:r>
      <w:r w:rsidR="00B42CEF" w:rsidRPr="00B838D8">
        <w:rPr>
          <w:rFonts w:ascii="Calibri" w:eastAsia="Calibri" w:hAnsi="Calibri"/>
          <w:lang w:eastAsia="en-US"/>
        </w:rPr>
        <w:t>, 5.429/5.447, 5.461/5.477, 5.495/5.568</w:t>
      </w:r>
      <w:r w:rsidR="00121285" w:rsidRPr="00B838D8">
        <w:rPr>
          <w:rFonts w:ascii="Calibri" w:eastAsia="Calibri" w:hAnsi="Calibri"/>
          <w:lang w:eastAsia="en-US"/>
        </w:rPr>
        <w:t>, 6.897/6.</w:t>
      </w:r>
      <w:r w:rsidR="002C4C06" w:rsidRPr="00B838D8">
        <w:rPr>
          <w:rFonts w:ascii="Calibri" w:eastAsia="Calibri" w:hAnsi="Calibri"/>
          <w:lang w:eastAsia="en-US"/>
        </w:rPr>
        <w:t>899</w:t>
      </w:r>
      <w:r w:rsidR="00BF56F6" w:rsidRPr="00B838D8">
        <w:rPr>
          <w:rFonts w:ascii="Calibri" w:eastAsia="Calibri" w:hAnsi="Calibri"/>
          <w:lang w:eastAsia="en-US"/>
        </w:rPr>
        <w:t xml:space="preserve"> e 7.426/7.439</w:t>
      </w:r>
      <w:r w:rsidR="00D8031F" w:rsidRPr="00B838D8">
        <w:rPr>
          <w:rFonts w:ascii="Calibri" w:eastAsia="Calibri" w:hAnsi="Calibri"/>
          <w:lang w:eastAsia="en-US"/>
        </w:rPr>
        <w:t>.</w:t>
      </w:r>
    </w:p>
    <w:p w:rsidR="0038631B" w:rsidRDefault="0038631B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38631B" w:rsidRDefault="00D7288F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13014">
        <w:rPr>
          <w:rFonts w:ascii="Calibri" w:eastAsia="Calibri" w:hAnsi="Calibri"/>
          <w:u w:val="single"/>
          <w:lang w:eastAsia="en-US"/>
        </w:rPr>
        <w:t>Documentação relativa à outorga do Cantareira</w:t>
      </w:r>
      <w:r>
        <w:rPr>
          <w:rFonts w:ascii="Calibri" w:eastAsia="Calibri" w:hAnsi="Calibri"/>
          <w:lang w:eastAsia="en-US"/>
        </w:rPr>
        <w:t xml:space="preserve"> </w:t>
      </w:r>
      <w:r w:rsidR="0065603B">
        <w:rPr>
          <w:rFonts w:ascii="Calibri" w:eastAsia="Calibri" w:hAnsi="Calibri"/>
          <w:lang w:eastAsia="en-US"/>
        </w:rPr>
        <w:t>consta de</w:t>
      </w:r>
      <w:r>
        <w:rPr>
          <w:rFonts w:ascii="Calibri" w:eastAsia="Calibri" w:hAnsi="Calibri"/>
          <w:lang w:eastAsia="en-US"/>
        </w:rPr>
        <w:t xml:space="preserve"> fls. 2.432/2.441</w:t>
      </w:r>
      <w:r w:rsidR="0078249B">
        <w:rPr>
          <w:rFonts w:ascii="Calibri" w:eastAsia="Calibri" w:hAnsi="Calibri"/>
          <w:lang w:eastAsia="en-US"/>
        </w:rPr>
        <w:t>, 2.605/2.608, 2.612/2.620, 2.622/2.655, 2.657/2.855, 2.862/2.881, 2.889/2.</w:t>
      </w:r>
      <w:r w:rsidR="0078249B" w:rsidRPr="00B838D8">
        <w:rPr>
          <w:rFonts w:ascii="Calibri" w:eastAsia="Calibri" w:hAnsi="Calibri"/>
          <w:lang w:eastAsia="en-US"/>
        </w:rPr>
        <w:t>926</w:t>
      </w:r>
      <w:r w:rsidR="0083325A" w:rsidRPr="00B838D8">
        <w:rPr>
          <w:rFonts w:ascii="Calibri" w:eastAsia="Calibri" w:hAnsi="Calibri"/>
          <w:lang w:eastAsia="en-US"/>
        </w:rPr>
        <w:t>, 3.866/3.893, 3.900/3.946</w:t>
      </w:r>
      <w:r w:rsidR="009C653E" w:rsidRPr="00B838D8">
        <w:rPr>
          <w:rFonts w:ascii="Calibri" w:eastAsia="Calibri" w:hAnsi="Calibri"/>
          <w:lang w:eastAsia="en-US"/>
        </w:rPr>
        <w:t>, 4.500/4.502, 4.516/4.659</w:t>
      </w:r>
      <w:r w:rsidR="0034742E" w:rsidRPr="00B838D8">
        <w:rPr>
          <w:rFonts w:ascii="Calibri" w:eastAsia="Calibri" w:hAnsi="Calibri"/>
          <w:lang w:eastAsia="en-US"/>
        </w:rPr>
        <w:t>, 4.990/4.996, 4.998/5.001</w:t>
      </w:r>
      <w:r w:rsidR="00BF3EE2" w:rsidRPr="00B838D8">
        <w:rPr>
          <w:rFonts w:ascii="Calibri" w:eastAsia="Calibri" w:hAnsi="Calibri"/>
          <w:lang w:eastAsia="en-US"/>
        </w:rPr>
        <w:t>, 5.173/5.174</w:t>
      </w:r>
      <w:r w:rsidR="00C13014" w:rsidRPr="00B838D8">
        <w:rPr>
          <w:rFonts w:ascii="Calibri" w:eastAsia="Calibri" w:hAnsi="Calibri"/>
          <w:lang w:eastAsia="en-US"/>
        </w:rPr>
        <w:t>, 5.696/5.699</w:t>
      </w:r>
      <w:r w:rsidR="002753E9" w:rsidRPr="00B838D8">
        <w:rPr>
          <w:rFonts w:ascii="Calibri" w:eastAsia="Calibri" w:hAnsi="Calibri"/>
          <w:lang w:eastAsia="en-US"/>
        </w:rPr>
        <w:t>, 6.156/6.160</w:t>
      </w:r>
      <w:r w:rsidR="00CB37A7" w:rsidRPr="00B838D8">
        <w:rPr>
          <w:rFonts w:ascii="Calibri" w:eastAsia="Calibri" w:hAnsi="Calibri"/>
          <w:lang w:eastAsia="en-US"/>
        </w:rPr>
        <w:t>, 6.458/6.461</w:t>
      </w:r>
      <w:r w:rsidR="00C82C22" w:rsidRPr="00B838D8">
        <w:rPr>
          <w:rFonts w:ascii="Calibri" w:eastAsia="Calibri" w:hAnsi="Calibri"/>
          <w:lang w:eastAsia="en-US"/>
        </w:rPr>
        <w:t>, 6.628/6.657, 6.684/6.686</w:t>
      </w:r>
      <w:r w:rsidR="002C4C06" w:rsidRPr="00B838D8">
        <w:rPr>
          <w:rFonts w:ascii="Calibri" w:eastAsia="Calibri" w:hAnsi="Calibri"/>
          <w:lang w:eastAsia="en-US"/>
        </w:rPr>
        <w:t>, 6.940/6.967</w:t>
      </w:r>
      <w:r w:rsidR="00FA02F3" w:rsidRPr="00B838D8">
        <w:rPr>
          <w:rFonts w:ascii="Calibri" w:eastAsia="Calibri" w:hAnsi="Calibri"/>
          <w:lang w:eastAsia="en-US"/>
        </w:rPr>
        <w:t>, 7.036/7.067, 7.096/7.162</w:t>
      </w:r>
      <w:r w:rsidR="006C1CA4" w:rsidRPr="00B838D8">
        <w:rPr>
          <w:rFonts w:ascii="Calibri" w:eastAsia="Calibri" w:hAnsi="Calibri"/>
          <w:lang w:eastAsia="en-US"/>
        </w:rPr>
        <w:t>, 7.256/7.287, 7.309/7.310</w:t>
      </w:r>
      <w:r w:rsidR="00EF50CF" w:rsidRPr="00B838D8">
        <w:rPr>
          <w:rFonts w:ascii="Calibri" w:eastAsia="Calibri" w:hAnsi="Calibri"/>
          <w:lang w:eastAsia="en-US"/>
        </w:rPr>
        <w:t>.</w:t>
      </w:r>
    </w:p>
    <w:p w:rsidR="00004994" w:rsidRDefault="00004994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F50CF" w:rsidRDefault="0083325A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Documentos atinentes à audiência pública realizada no âmbito deste Ministério Público do Estado de São Paulo</w:t>
      </w:r>
      <w:r w:rsidR="009C653E">
        <w:rPr>
          <w:rFonts w:ascii="Calibri" w:eastAsia="Calibri" w:hAnsi="Calibri"/>
          <w:lang w:eastAsia="en-US"/>
        </w:rPr>
        <w:t xml:space="preserve"> </w:t>
      </w:r>
      <w:r w:rsidR="009C653E" w:rsidRPr="009C653E">
        <w:rPr>
          <w:rFonts w:ascii="Calibri" w:eastAsia="Calibri" w:hAnsi="Calibri"/>
          <w:lang w:eastAsia="en-US"/>
        </w:rPr>
        <w:t>nos dias 20 e 21 de agosto de 2015, em parceria com o Ministério Público Federal, Ministério Público de Contas de São Paulo, Ministério Público do Trabalho, Defensoria Pública do Estado de São Paulo e das ONGs PROAM, Artigo 19 e Aliança pela Água</w:t>
      </w:r>
      <w:r w:rsidR="00A3062E">
        <w:rPr>
          <w:rFonts w:ascii="Calibri" w:eastAsia="Calibri" w:hAnsi="Calibri"/>
          <w:lang w:eastAsia="en-US"/>
        </w:rPr>
        <w:t xml:space="preserve">, versando </w:t>
      </w:r>
      <w:r w:rsidR="009C653E" w:rsidRPr="009C653E">
        <w:rPr>
          <w:rFonts w:ascii="Calibri" w:eastAsia="Calibri" w:hAnsi="Calibri"/>
          <w:lang w:eastAsia="en-US"/>
        </w:rPr>
        <w:t>acerca da crise hídrica</w:t>
      </w:r>
      <w:r w:rsidR="009C653E">
        <w:rPr>
          <w:rFonts w:ascii="Calibri" w:eastAsia="Calibri" w:hAnsi="Calibri"/>
          <w:lang w:eastAsia="en-US"/>
        </w:rPr>
        <w:t xml:space="preserve"> verificada no Estado</w:t>
      </w:r>
      <w:r w:rsidR="00A3062E">
        <w:rPr>
          <w:rFonts w:ascii="Calibri" w:eastAsia="Calibri" w:hAnsi="Calibri"/>
          <w:lang w:eastAsia="en-US"/>
        </w:rPr>
        <w:t>, foram</w:t>
      </w:r>
      <w:r>
        <w:rPr>
          <w:rFonts w:ascii="Calibri" w:eastAsia="Calibri" w:hAnsi="Calibri"/>
          <w:lang w:eastAsia="en-US"/>
        </w:rPr>
        <w:t xml:space="preserve"> </w:t>
      </w:r>
      <w:r w:rsidR="00EA4D87">
        <w:rPr>
          <w:rFonts w:ascii="Calibri" w:eastAsia="Calibri" w:hAnsi="Calibri"/>
          <w:lang w:eastAsia="en-US"/>
        </w:rPr>
        <w:t xml:space="preserve">acostados </w:t>
      </w:r>
      <w:r>
        <w:rPr>
          <w:rFonts w:ascii="Calibri" w:eastAsia="Calibri" w:hAnsi="Calibri"/>
          <w:lang w:eastAsia="en-US"/>
        </w:rPr>
        <w:t>às fls. 4.084/</w:t>
      </w:r>
      <w:r w:rsidR="009C653E">
        <w:rPr>
          <w:rFonts w:ascii="Calibri" w:eastAsia="Calibri" w:hAnsi="Calibri"/>
          <w:lang w:eastAsia="en-US"/>
        </w:rPr>
        <w:t>4.096, 4.120/4.145, 4.153, 4.171/4.197, 4.202/4.401</w:t>
      </w:r>
      <w:r w:rsidR="00B97A4B">
        <w:rPr>
          <w:rFonts w:ascii="Calibri" w:eastAsia="Calibri" w:hAnsi="Calibri"/>
          <w:lang w:eastAsia="en-US"/>
        </w:rPr>
        <w:t>, 4.667/4.899</w:t>
      </w:r>
      <w:r w:rsidR="00C415D3">
        <w:rPr>
          <w:rFonts w:ascii="Calibri" w:eastAsia="Calibri" w:hAnsi="Calibri"/>
          <w:lang w:eastAsia="en-US"/>
        </w:rPr>
        <w:t>.</w:t>
      </w:r>
    </w:p>
    <w:p w:rsidR="00D8031F" w:rsidRDefault="00D8031F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34742E" w:rsidRDefault="0034742E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34742E">
        <w:rPr>
          <w:rFonts w:ascii="Calibri" w:eastAsia="Calibri" w:hAnsi="Calibri"/>
          <w:lang w:eastAsia="en-US"/>
        </w:rPr>
        <w:t xml:space="preserve">Procedeu-se, na sequência, à oitiva de algumas pessoas </w:t>
      </w:r>
      <w:r>
        <w:rPr>
          <w:rFonts w:ascii="Calibri" w:eastAsia="Calibri" w:hAnsi="Calibri"/>
          <w:lang w:eastAsia="en-US"/>
        </w:rPr>
        <w:t>(fls. 4.915/4.916, 4.918/4.919, 4.921/4.926</w:t>
      </w:r>
      <w:r w:rsidR="00AA740C">
        <w:rPr>
          <w:rFonts w:ascii="Calibri" w:eastAsia="Calibri" w:hAnsi="Calibri"/>
          <w:lang w:eastAsia="en-US"/>
        </w:rPr>
        <w:t xml:space="preserve">, </w:t>
      </w:r>
      <w:r w:rsidR="00B42CEF">
        <w:rPr>
          <w:rFonts w:ascii="Calibri" w:eastAsia="Calibri" w:hAnsi="Calibri"/>
          <w:lang w:eastAsia="en-US"/>
        </w:rPr>
        <w:t>5.423/5.425</w:t>
      </w:r>
      <w:r w:rsidR="00AA740C">
        <w:rPr>
          <w:rFonts w:ascii="Calibri" w:eastAsia="Calibri" w:hAnsi="Calibri"/>
          <w:lang w:eastAsia="en-US"/>
        </w:rPr>
        <w:t>, 6.135/6.148</w:t>
      </w:r>
      <w:r>
        <w:rPr>
          <w:rFonts w:ascii="Calibri" w:eastAsia="Calibri" w:hAnsi="Calibri"/>
          <w:lang w:eastAsia="en-US"/>
        </w:rPr>
        <w:t>).</w:t>
      </w:r>
    </w:p>
    <w:p w:rsidR="0034742E" w:rsidRDefault="0034742E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34742E" w:rsidRDefault="0034742E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Diversos temas foram tratados a partir da realização da audiência pública, como</w:t>
      </w:r>
      <w:r w:rsidR="0061092B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por exemplo</w:t>
      </w:r>
      <w:r w:rsidR="0061092B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o projeto de recuperação e operacionalização da estação de piscicultura</w:t>
      </w:r>
      <w:r w:rsidR="00BF3EE2">
        <w:rPr>
          <w:rFonts w:ascii="Calibri" w:eastAsia="Calibri" w:hAnsi="Calibri"/>
          <w:lang w:eastAsia="en-US"/>
        </w:rPr>
        <w:t xml:space="preserve"> (fls. 5.097/5.115),</w:t>
      </w:r>
      <w:r w:rsidR="00C13014">
        <w:rPr>
          <w:rFonts w:ascii="Calibri" w:eastAsia="Calibri" w:hAnsi="Calibri"/>
          <w:lang w:eastAsia="en-US"/>
        </w:rPr>
        <w:t xml:space="preserve"> impacto da crise hídrica na saúde pública, com a propagação de</w:t>
      </w:r>
      <w:r w:rsidR="00BF3EE2">
        <w:rPr>
          <w:rFonts w:ascii="Calibri" w:eastAsia="Calibri" w:hAnsi="Calibri"/>
          <w:lang w:eastAsia="en-US"/>
        </w:rPr>
        <w:t xml:space="preserve"> doenças relacionadas à qualidade da água (</w:t>
      </w:r>
      <w:r w:rsidR="00C13014">
        <w:rPr>
          <w:rFonts w:ascii="Calibri" w:eastAsia="Calibri" w:hAnsi="Calibri"/>
          <w:lang w:eastAsia="en-US"/>
        </w:rPr>
        <w:t xml:space="preserve">exemplificadamente, às </w:t>
      </w:r>
      <w:r w:rsidR="00BF3EE2">
        <w:rPr>
          <w:rFonts w:ascii="Calibri" w:eastAsia="Calibri" w:hAnsi="Calibri"/>
          <w:lang w:eastAsia="en-US"/>
        </w:rPr>
        <w:t>fls. 5.117/5.121, 5.123/5.124, 5.150/5.155</w:t>
      </w:r>
      <w:r w:rsidR="00C13014">
        <w:rPr>
          <w:rFonts w:ascii="Calibri" w:eastAsia="Calibri" w:hAnsi="Calibri"/>
          <w:lang w:eastAsia="en-US"/>
        </w:rPr>
        <w:t xml:space="preserve"> e 5.666/5.692</w:t>
      </w:r>
      <w:r w:rsidR="00BF3EE2">
        <w:rPr>
          <w:rFonts w:ascii="Calibri" w:eastAsia="Calibri" w:hAnsi="Calibri"/>
          <w:lang w:eastAsia="en-US"/>
        </w:rPr>
        <w:t>), protocolos de outorga de recursos hídricos não respondidos pelo DAEE (fls. 5.184/5.242)</w:t>
      </w:r>
      <w:r w:rsidR="00AA740C">
        <w:rPr>
          <w:rFonts w:ascii="Calibri" w:eastAsia="Calibri" w:hAnsi="Calibri"/>
          <w:lang w:eastAsia="en-US"/>
        </w:rPr>
        <w:t>, preservação da ict</w:t>
      </w:r>
      <w:r w:rsidR="0061092B">
        <w:rPr>
          <w:rFonts w:ascii="Calibri" w:eastAsia="Calibri" w:hAnsi="Calibri"/>
          <w:lang w:eastAsia="en-US"/>
        </w:rPr>
        <w:t>i</w:t>
      </w:r>
      <w:r w:rsidR="00AA740C">
        <w:rPr>
          <w:rFonts w:ascii="Calibri" w:eastAsia="Calibri" w:hAnsi="Calibri"/>
          <w:lang w:eastAsia="en-US"/>
        </w:rPr>
        <w:t>ofauna,</w:t>
      </w:r>
      <w:r w:rsidR="00BF3EE2">
        <w:rPr>
          <w:rFonts w:ascii="Calibri" w:eastAsia="Calibri" w:hAnsi="Calibri"/>
          <w:lang w:eastAsia="en-US"/>
        </w:rPr>
        <w:t xml:space="preserve"> dentre outros</w:t>
      </w:r>
      <w:r w:rsidR="00C13014">
        <w:rPr>
          <w:rFonts w:ascii="Calibri" w:eastAsia="Calibri" w:hAnsi="Calibri"/>
          <w:lang w:eastAsia="en-US"/>
        </w:rPr>
        <w:t>.</w:t>
      </w:r>
    </w:p>
    <w:p w:rsidR="00C13014" w:rsidRDefault="00C13014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13014" w:rsidRDefault="00C13014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Também foram acostadas diversas matérias jornalísticas relacionadas à crise hídrica (fl. 5.714/5.906)</w:t>
      </w:r>
      <w:r w:rsidR="006939BA">
        <w:rPr>
          <w:rFonts w:ascii="Calibri" w:eastAsia="Calibri" w:hAnsi="Calibri"/>
          <w:lang w:eastAsia="en-US"/>
        </w:rPr>
        <w:t xml:space="preserve"> e </w:t>
      </w:r>
      <w:r w:rsidR="00EF6919">
        <w:rPr>
          <w:rFonts w:ascii="Calibri" w:eastAsia="Calibri" w:hAnsi="Calibri"/>
          <w:lang w:eastAsia="en-US"/>
        </w:rPr>
        <w:t>relatório apresentada pela ONG “</w:t>
      </w:r>
      <w:proofErr w:type="spellStart"/>
      <w:r w:rsidR="00EF6919">
        <w:rPr>
          <w:rFonts w:ascii="Calibri" w:eastAsia="Calibri" w:hAnsi="Calibri"/>
          <w:lang w:eastAsia="en-US"/>
        </w:rPr>
        <w:t>Article</w:t>
      </w:r>
      <w:proofErr w:type="spellEnd"/>
      <w:r w:rsidR="00EF6919">
        <w:rPr>
          <w:rFonts w:ascii="Calibri" w:eastAsia="Calibri" w:hAnsi="Calibri"/>
          <w:lang w:eastAsia="en-US"/>
        </w:rPr>
        <w:t xml:space="preserve"> 19” (fls. 5.923/5.947)</w:t>
      </w:r>
      <w:r>
        <w:rPr>
          <w:rFonts w:ascii="Calibri" w:eastAsia="Calibri" w:hAnsi="Calibri"/>
          <w:lang w:eastAsia="en-US"/>
        </w:rPr>
        <w:t>.</w:t>
      </w:r>
    </w:p>
    <w:p w:rsidR="00004994" w:rsidRDefault="00004994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F6919" w:rsidRDefault="00EF6919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 xml:space="preserve">Na sequência, acostou-se </w:t>
      </w:r>
      <w:r w:rsidR="00AA740C">
        <w:rPr>
          <w:rFonts w:ascii="Calibri" w:eastAsia="Calibri" w:hAnsi="Calibri"/>
          <w:lang w:eastAsia="en-US"/>
        </w:rPr>
        <w:t>Plano de Contingência para o Abastecimento da RMSP, elaborado pelo Comitê para Gestão da Crise Hídrica (fls. 6.009/6.083).</w:t>
      </w:r>
    </w:p>
    <w:p w:rsidR="00CB37A7" w:rsidRDefault="00CB37A7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C1CA4" w:rsidRPr="006C1CA4" w:rsidRDefault="00CB37A7" w:rsidP="006C1CA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B37A7">
        <w:rPr>
          <w:rFonts w:ascii="Calibri" w:eastAsia="Calibri" w:hAnsi="Calibri"/>
          <w:lang w:eastAsia="en-US"/>
        </w:rPr>
        <w:t>Ato contínuo, juntou-se proposta comercial apresentada pela Fundação de Amparo à Pesquisa (FAEP) à SABESP sobre o programa de conservação e preservação da ict</w:t>
      </w:r>
      <w:r w:rsidR="0065603B">
        <w:rPr>
          <w:rFonts w:ascii="Calibri" w:eastAsia="Calibri" w:hAnsi="Calibri"/>
          <w:lang w:eastAsia="en-US"/>
        </w:rPr>
        <w:t>i</w:t>
      </w:r>
      <w:r w:rsidRPr="00CB37A7">
        <w:rPr>
          <w:rFonts w:ascii="Calibri" w:eastAsia="Calibri" w:hAnsi="Calibri"/>
          <w:lang w:eastAsia="en-US"/>
        </w:rPr>
        <w:t>ofauna na região do Alto Tietê (fls. 6</w:t>
      </w:r>
      <w:r>
        <w:rPr>
          <w:rFonts w:ascii="Calibri" w:eastAsia="Calibri" w:hAnsi="Calibri"/>
          <w:lang w:eastAsia="en-US"/>
        </w:rPr>
        <w:t>.</w:t>
      </w:r>
      <w:r w:rsidRPr="00CB37A7">
        <w:rPr>
          <w:rFonts w:ascii="Calibri" w:eastAsia="Calibri" w:hAnsi="Calibri"/>
          <w:lang w:eastAsia="en-US"/>
        </w:rPr>
        <w:t>217/6</w:t>
      </w:r>
      <w:r>
        <w:rPr>
          <w:rFonts w:ascii="Calibri" w:eastAsia="Calibri" w:hAnsi="Calibri"/>
          <w:lang w:eastAsia="en-US"/>
        </w:rPr>
        <w:t>.</w:t>
      </w:r>
      <w:r w:rsidRPr="00CB37A7">
        <w:rPr>
          <w:rFonts w:ascii="Calibri" w:eastAsia="Calibri" w:hAnsi="Calibri"/>
          <w:lang w:eastAsia="en-US"/>
        </w:rPr>
        <w:t>236).</w:t>
      </w:r>
      <w:r w:rsidR="006C1CA4">
        <w:rPr>
          <w:rFonts w:ascii="Calibri" w:eastAsia="Calibri" w:hAnsi="Calibri"/>
          <w:lang w:eastAsia="en-US"/>
        </w:rPr>
        <w:t xml:space="preserve"> Posteriormente</w:t>
      </w:r>
      <w:r w:rsidR="006C1CA4" w:rsidRPr="006C1CA4">
        <w:rPr>
          <w:rFonts w:ascii="Calibri" w:eastAsia="Calibri" w:hAnsi="Calibri"/>
          <w:lang w:eastAsia="en-US"/>
        </w:rPr>
        <w:t xml:space="preserve">, a CETESB encaminhou informação técnica na qual </w:t>
      </w:r>
      <w:r w:rsidR="0065482F">
        <w:rPr>
          <w:rFonts w:ascii="Calibri" w:eastAsia="Calibri" w:hAnsi="Calibri"/>
          <w:lang w:eastAsia="en-US"/>
        </w:rPr>
        <w:t>informou</w:t>
      </w:r>
      <w:r w:rsidR="006C1CA4" w:rsidRPr="006C1CA4">
        <w:rPr>
          <w:rFonts w:ascii="Calibri" w:eastAsia="Calibri" w:hAnsi="Calibri"/>
          <w:lang w:eastAsia="en-US"/>
        </w:rPr>
        <w:t xml:space="preserve"> que a SABESP comunicou a agência ambiental que o contrato com a</w:t>
      </w:r>
      <w:r w:rsidR="006C1CA4">
        <w:rPr>
          <w:rFonts w:ascii="Calibri" w:eastAsia="Calibri" w:hAnsi="Calibri"/>
          <w:lang w:eastAsia="en-US"/>
        </w:rPr>
        <w:t xml:space="preserve"> FAEP</w:t>
      </w:r>
      <w:r w:rsidR="006C1CA4" w:rsidRPr="006C1CA4">
        <w:rPr>
          <w:rFonts w:ascii="Calibri" w:eastAsia="Calibri" w:hAnsi="Calibri"/>
          <w:lang w:eastAsia="en-US"/>
        </w:rPr>
        <w:t xml:space="preserve"> para a prestação de serviços</w:t>
      </w:r>
      <w:r w:rsidR="0065603B">
        <w:rPr>
          <w:rFonts w:ascii="Calibri" w:eastAsia="Calibri" w:hAnsi="Calibri"/>
          <w:lang w:eastAsia="en-US"/>
        </w:rPr>
        <w:t xml:space="preserve"> de</w:t>
      </w:r>
      <w:r w:rsidR="006C1CA4" w:rsidRPr="006C1CA4">
        <w:rPr>
          <w:rFonts w:ascii="Calibri" w:eastAsia="Calibri" w:hAnsi="Calibri"/>
          <w:lang w:eastAsia="en-US"/>
        </w:rPr>
        <w:t xml:space="preserve"> </w:t>
      </w:r>
      <w:r w:rsidR="0065482F">
        <w:rPr>
          <w:rFonts w:ascii="Calibri" w:eastAsia="Calibri" w:hAnsi="Calibri"/>
          <w:lang w:eastAsia="en-US"/>
        </w:rPr>
        <w:t xml:space="preserve">monitoramento e conservação </w:t>
      </w:r>
      <w:r w:rsidR="006C1CA4" w:rsidRPr="006C1CA4">
        <w:rPr>
          <w:rFonts w:ascii="Calibri" w:eastAsia="Calibri" w:hAnsi="Calibri"/>
          <w:lang w:eastAsia="en-US"/>
        </w:rPr>
        <w:t>d</w:t>
      </w:r>
      <w:r w:rsidR="0065482F">
        <w:rPr>
          <w:rFonts w:ascii="Calibri" w:eastAsia="Calibri" w:hAnsi="Calibri"/>
          <w:lang w:eastAsia="en-US"/>
        </w:rPr>
        <w:t>a</w:t>
      </w:r>
      <w:r w:rsidR="006C1CA4" w:rsidRPr="006C1CA4">
        <w:rPr>
          <w:rFonts w:ascii="Calibri" w:eastAsia="Calibri" w:hAnsi="Calibri"/>
          <w:lang w:eastAsia="en-US"/>
        </w:rPr>
        <w:t xml:space="preserve"> ictiofauna foi assinado em 21/07/2016 e que a autorização de serviço seria emitida em 01/08/2016 (fl. 7</w:t>
      </w:r>
      <w:r w:rsidR="006C1CA4">
        <w:rPr>
          <w:rFonts w:ascii="Calibri" w:eastAsia="Calibri" w:hAnsi="Calibri"/>
          <w:lang w:eastAsia="en-US"/>
        </w:rPr>
        <w:t>.</w:t>
      </w:r>
      <w:r w:rsidR="006C1CA4" w:rsidRPr="006C1CA4">
        <w:rPr>
          <w:rFonts w:ascii="Calibri" w:eastAsia="Calibri" w:hAnsi="Calibri"/>
          <w:lang w:eastAsia="en-US"/>
        </w:rPr>
        <w:t>191), o que de fato se concretizou (fl. 7</w:t>
      </w:r>
      <w:r w:rsidR="006C1CA4">
        <w:rPr>
          <w:rFonts w:ascii="Calibri" w:eastAsia="Calibri" w:hAnsi="Calibri"/>
          <w:lang w:eastAsia="en-US"/>
        </w:rPr>
        <w:t>.</w:t>
      </w:r>
      <w:r w:rsidR="006C1CA4" w:rsidRPr="006C1CA4">
        <w:rPr>
          <w:rFonts w:ascii="Calibri" w:eastAsia="Calibri" w:hAnsi="Calibri"/>
          <w:lang w:eastAsia="en-US"/>
        </w:rPr>
        <w:t xml:space="preserve">198). </w:t>
      </w:r>
    </w:p>
    <w:p w:rsidR="00D8031F" w:rsidRDefault="00D8031F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B37A7" w:rsidRPr="00CB37A7" w:rsidRDefault="00CB37A7" w:rsidP="00CB37A7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CB37A7">
        <w:rPr>
          <w:rFonts w:ascii="Calibri" w:eastAsia="Calibri" w:hAnsi="Calibri"/>
          <w:lang w:eastAsia="en-US"/>
        </w:rPr>
        <w:t xml:space="preserve">Foram ainda juntados os termos de oitivas de cidadãos da cidade de São Paulo/SP realizadas pela Promotora </w:t>
      </w:r>
      <w:r w:rsidR="0065482F">
        <w:rPr>
          <w:rFonts w:ascii="Calibri" w:eastAsia="Calibri" w:hAnsi="Calibri"/>
          <w:lang w:eastAsia="en-US"/>
        </w:rPr>
        <w:t xml:space="preserve">de Justiça </w:t>
      </w:r>
      <w:r w:rsidRPr="00CB37A7">
        <w:rPr>
          <w:rFonts w:ascii="Calibri" w:eastAsia="Calibri" w:hAnsi="Calibri"/>
          <w:lang w:eastAsia="en-US"/>
        </w:rPr>
        <w:t xml:space="preserve">Fernanda </w:t>
      </w:r>
      <w:proofErr w:type="spellStart"/>
      <w:r w:rsidRPr="00CB37A7">
        <w:rPr>
          <w:rFonts w:ascii="Calibri" w:eastAsia="Calibri" w:hAnsi="Calibri"/>
          <w:lang w:eastAsia="en-US"/>
        </w:rPr>
        <w:t>Dolce</w:t>
      </w:r>
      <w:proofErr w:type="spellEnd"/>
      <w:r w:rsidRPr="00CB37A7">
        <w:rPr>
          <w:rFonts w:ascii="Calibri" w:eastAsia="Calibri" w:hAnsi="Calibri"/>
          <w:lang w:eastAsia="en-US"/>
        </w:rPr>
        <w:t xml:space="preserve"> através da Assessoria Especial de Promotoria Comunitária</w:t>
      </w:r>
      <w:r w:rsidR="003D5970">
        <w:rPr>
          <w:rFonts w:ascii="Calibri" w:eastAsia="Calibri" w:hAnsi="Calibri"/>
          <w:lang w:eastAsia="en-US"/>
        </w:rPr>
        <w:t>, entre janeiro e março de 2016,</w:t>
      </w:r>
      <w:r w:rsidRPr="00CB37A7">
        <w:rPr>
          <w:rFonts w:ascii="Calibri" w:eastAsia="Calibri" w:hAnsi="Calibri"/>
          <w:lang w:eastAsia="en-US"/>
        </w:rPr>
        <w:t xml:space="preserve"> nos bairros Capão Redondo, Grajaú, Capela do Socorro, Guarapiranga, Valo Velho</w:t>
      </w:r>
      <w:r w:rsidR="003D5970">
        <w:rPr>
          <w:rFonts w:ascii="Calibri" w:eastAsia="Calibri" w:hAnsi="Calibri"/>
          <w:lang w:eastAsia="en-US"/>
        </w:rPr>
        <w:t>,</w:t>
      </w:r>
      <w:r w:rsidRPr="00CB37A7">
        <w:rPr>
          <w:rFonts w:ascii="Calibri" w:eastAsia="Calibri" w:hAnsi="Calibri"/>
          <w:lang w:eastAsia="en-US"/>
        </w:rPr>
        <w:t xml:space="preserve"> </w:t>
      </w:r>
      <w:r w:rsidRPr="0065482F">
        <w:rPr>
          <w:rFonts w:ascii="Calibri" w:eastAsia="Calibri" w:hAnsi="Calibri"/>
          <w:lang w:eastAsia="en-US"/>
        </w:rPr>
        <w:t>Jardim das Flores</w:t>
      </w:r>
      <w:r w:rsidR="003D5970" w:rsidRPr="0065482F">
        <w:rPr>
          <w:rFonts w:ascii="Calibri" w:eastAsia="Calibri" w:hAnsi="Calibri"/>
          <w:lang w:eastAsia="en-US"/>
        </w:rPr>
        <w:t xml:space="preserve"> e Jardim Ângela</w:t>
      </w:r>
      <w:r w:rsidRPr="0065482F">
        <w:rPr>
          <w:rFonts w:ascii="Calibri" w:eastAsia="Calibri" w:hAnsi="Calibri"/>
          <w:lang w:eastAsia="en-US"/>
        </w:rPr>
        <w:t>,</w:t>
      </w:r>
      <w:r w:rsidRPr="00CB37A7">
        <w:rPr>
          <w:rFonts w:ascii="Calibri" w:eastAsia="Calibri" w:hAnsi="Calibri"/>
          <w:lang w:eastAsia="en-US"/>
        </w:rPr>
        <w:t xml:space="preserve"> visando à obtenção de provas sobre a ocorrência de </w:t>
      </w:r>
      <w:r w:rsidRPr="00EA4D87">
        <w:rPr>
          <w:rFonts w:ascii="Calibri" w:eastAsia="Calibri" w:hAnsi="Calibri"/>
          <w:u w:val="single"/>
          <w:lang w:eastAsia="en-US"/>
        </w:rPr>
        <w:t>racionamento de água pela SABESP</w:t>
      </w:r>
      <w:r w:rsidRPr="00CB37A7">
        <w:rPr>
          <w:rFonts w:ascii="Calibri" w:eastAsia="Calibri" w:hAnsi="Calibri"/>
          <w:lang w:eastAsia="en-US"/>
        </w:rPr>
        <w:t xml:space="preserve"> nesta Capital (fls. 6</w:t>
      </w:r>
      <w:r>
        <w:rPr>
          <w:rFonts w:ascii="Calibri" w:eastAsia="Calibri" w:hAnsi="Calibri"/>
          <w:lang w:eastAsia="en-US"/>
        </w:rPr>
        <w:t>.</w:t>
      </w:r>
      <w:r w:rsidRPr="00CB37A7">
        <w:rPr>
          <w:rFonts w:ascii="Calibri" w:eastAsia="Calibri" w:hAnsi="Calibri"/>
          <w:lang w:eastAsia="en-US"/>
        </w:rPr>
        <w:t>239/6</w:t>
      </w:r>
      <w:r>
        <w:rPr>
          <w:rFonts w:ascii="Calibri" w:eastAsia="Calibri" w:hAnsi="Calibri"/>
          <w:lang w:eastAsia="en-US"/>
        </w:rPr>
        <w:t>.</w:t>
      </w:r>
      <w:r w:rsidRPr="00CB37A7">
        <w:rPr>
          <w:rFonts w:ascii="Calibri" w:eastAsia="Calibri" w:hAnsi="Calibri"/>
          <w:lang w:eastAsia="en-US"/>
        </w:rPr>
        <w:t>439</w:t>
      </w:r>
      <w:r w:rsidR="003D5970">
        <w:rPr>
          <w:rFonts w:ascii="Calibri" w:eastAsia="Calibri" w:hAnsi="Calibri"/>
          <w:lang w:eastAsia="en-US"/>
        </w:rPr>
        <w:t>,</w:t>
      </w:r>
      <w:r w:rsidRPr="00CB37A7">
        <w:rPr>
          <w:rFonts w:ascii="Calibri" w:eastAsia="Calibri" w:hAnsi="Calibri"/>
          <w:lang w:eastAsia="en-US"/>
        </w:rPr>
        <w:t xml:space="preserve"> 6</w:t>
      </w:r>
      <w:r>
        <w:rPr>
          <w:rFonts w:ascii="Calibri" w:eastAsia="Calibri" w:hAnsi="Calibri"/>
          <w:lang w:eastAsia="en-US"/>
        </w:rPr>
        <w:t>.</w:t>
      </w:r>
      <w:r w:rsidRPr="00CB37A7">
        <w:rPr>
          <w:rFonts w:ascii="Calibri" w:eastAsia="Calibri" w:hAnsi="Calibri"/>
          <w:lang w:eastAsia="en-US"/>
        </w:rPr>
        <w:t>477/6</w:t>
      </w:r>
      <w:r>
        <w:rPr>
          <w:rFonts w:ascii="Calibri" w:eastAsia="Calibri" w:hAnsi="Calibri"/>
          <w:lang w:eastAsia="en-US"/>
        </w:rPr>
        <w:t>.</w:t>
      </w:r>
      <w:r w:rsidRPr="00CB37A7">
        <w:rPr>
          <w:rFonts w:ascii="Calibri" w:eastAsia="Calibri" w:hAnsi="Calibri"/>
          <w:lang w:eastAsia="en-US"/>
        </w:rPr>
        <w:t>503</w:t>
      </w:r>
      <w:r w:rsidR="003D5970">
        <w:rPr>
          <w:rFonts w:ascii="Calibri" w:eastAsia="Calibri" w:hAnsi="Calibri"/>
          <w:lang w:eastAsia="en-US"/>
        </w:rPr>
        <w:t xml:space="preserve"> e 6.541/6.564</w:t>
      </w:r>
      <w:r w:rsidRPr="00CB37A7">
        <w:rPr>
          <w:rFonts w:ascii="Calibri" w:eastAsia="Calibri" w:hAnsi="Calibri"/>
          <w:lang w:eastAsia="en-US"/>
        </w:rPr>
        <w:t>).</w:t>
      </w:r>
    </w:p>
    <w:p w:rsidR="00CB37A7" w:rsidRDefault="00CB37A7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B4DD4" w:rsidRPr="00CB4DD4" w:rsidRDefault="00C13014" w:rsidP="00CB4DD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Destaca-se que </w:t>
      </w:r>
      <w:r w:rsidRPr="00EA4D87">
        <w:rPr>
          <w:rFonts w:ascii="Calibri" w:eastAsia="Calibri" w:hAnsi="Calibri"/>
          <w:u w:val="single"/>
          <w:lang w:eastAsia="en-US"/>
        </w:rPr>
        <w:t>a ação civil pública (autos nº 1013197.21.2015.8.26.0053 – 7ª Vara da Fazenda Pública da Capital) foi julgada parcialmente procedente</w:t>
      </w:r>
      <w:r w:rsidRPr="00C13014">
        <w:rPr>
          <w:rFonts w:ascii="Calibri" w:eastAsia="Calibri" w:hAnsi="Calibri"/>
          <w:lang w:eastAsia="en-US"/>
        </w:rPr>
        <w:t xml:space="preserve">, sentença confirmada pelo </w:t>
      </w:r>
      <w:r w:rsidR="0065482F">
        <w:rPr>
          <w:rFonts w:ascii="Calibri" w:eastAsia="Calibri" w:hAnsi="Calibri"/>
          <w:lang w:eastAsia="en-US"/>
        </w:rPr>
        <w:t xml:space="preserve">E. </w:t>
      </w:r>
      <w:r w:rsidRPr="00C13014">
        <w:rPr>
          <w:rFonts w:ascii="Calibri" w:eastAsia="Calibri" w:hAnsi="Calibri"/>
          <w:lang w:eastAsia="en-US"/>
        </w:rPr>
        <w:t>Tribunal de Justiça do Estado de São Paulo, que negou provimento ao recurso de apelação interposto pela SABESP</w:t>
      </w:r>
      <w:r w:rsidR="00800281">
        <w:rPr>
          <w:rFonts w:ascii="Calibri" w:eastAsia="Calibri" w:hAnsi="Calibri"/>
          <w:lang w:eastAsia="en-US"/>
        </w:rPr>
        <w:t xml:space="preserve">. </w:t>
      </w:r>
      <w:r w:rsidR="00CB4DD4">
        <w:rPr>
          <w:rFonts w:ascii="Calibri" w:eastAsia="Calibri" w:hAnsi="Calibri"/>
          <w:lang w:eastAsia="en-US"/>
        </w:rPr>
        <w:t xml:space="preserve">Diante de tal decisão, </w:t>
      </w:r>
      <w:r w:rsidR="00CB4DD4" w:rsidRPr="00EA4D87">
        <w:rPr>
          <w:rFonts w:ascii="Calibri" w:eastAsia="Calibri" w:hAnsi="Calibri"/>
          <w:u w:val="single"/>
          <w:lang w:eastAsia="en-US"/>
        </w:rPr>
        <w:t>a SABESP</w:t>
      </w:r>
      <w:r w:rsidR="00CB4DD4" w:rsidRPr="00CB4DD4">
        <w:rPr>
          <w:rFonts w:ascii="Calibri" w:eastAsia="Calibri" w:hAnsi="Calibri"/>
          <w:lang w:eastAsia="en-US"/>
        </w:rPr>
        <w:t xml:space="preserve"> inform</w:t>
      </w:r>
      <w:r w:rsidR="00CB4DD4">
        <w:rPr>
          <w:rFonts w:ascii="Calibri" w:eastAsia="Calibri" w:hAnsi="Calibri"/>
          <w:lang w:eastAsia="en-US"/>
        </w:rPr>
        <w:t>ou</w:t>
      </w:r>
      <w:r w:rsidR="00CB4DD4" w:rsidRPr="00CB4DD4">
        <w:rPr>
          <w:rFonts w:ascii="Calibri" w:eastAsia="Calibri" w:hAnsi="Calibri"/>
          <w:lang w:eastAsia="en-US"/>
        </w:rPr>
        <w:t xml:space="preserve"> que passou a divulgar tanto o volume operacional fisicamente possível quanto o volume operacional </w:t>
      </w:r>
      <w:proofErr w:type="spellStart"/>
      <w:r w:rsidR="00CB4DD4" w:rsidRPr="00CB4DD4">
        <w:rPr>
          <w:rFonts w:ascii="Calibri" w:eastAsia="Calibri" w:hAnsi="Calibri"/>
          <w:lang w:eastAsia="en-US"/>
        </w:rPr>
        <w:t>regulatoriamente</w:t>
      </w:r>
      <w:proofErr w:type="spellEnd"/>
      <w:r w:rsidR="00CB4DD4" w:rsidRPr="00CB4DD4">
        <w:rPr>
          <w:rFonts w:ascii="Calibri" w:eastAsia="Calibri" w:hAnsi="Calibri"/>
          <w:lang w:eastAsia="en-US"/>
        </w:rPr>
        <w:t xml:space="preserve"> possível, sendo que este </w:t>
      </w:r>
      <w:r w:rsidR="00CB4DD4" w:rsidRPr="00EA4D87">
        <w:rPr>
          <w:rFonts w:ascii="Calibri" w:eastAsia="Calibri" w:hAnsi="Calibri"/>
          <w:u w:val="single"/>
          <w:lang w:eastAsia="en-US"/>
        </w:rPr>
        <w:t>passou a excluir as reservas técnicas</w:t>
      </w:r>
      <w:r w:rsidR="00800281">
        <w:rPr>
          <w:rFonts w:ascii="Calibri" w:eastAsia="Calibri" w:hAnsi="Calibri"/>
          <w:lang w:eastAsia="en-US"/>
        </w:rPr>
        <w:t xml:space="preserve"> </w:t>
      </w:r>
      <w:r w:rsidR="00CB4DD4" w:rsidRPr="00CB4DD4">
        <w:rPr>
          <w:rFonts w:ascii="Calibri" w:eastAsia="Calibri" w:hAnsi="Calibri"/>
          <w:lang w:eastAsia="en-US"/>
        </w:rPr>
        <w:t>(fls. 6</w:t>
      </w:r>
      <w:r w:rsidR="00CB4DD4">
        <w:rPr>
          <w:rFonts w:ascii="Calibri" w:eastAsia="Calibri" w:hAnsi="Calibri"/>
          <w:lang w:eastAsia="en-US"/>
        </w:rPr>
        <w:t>.</w:t>
      </w:r>
      <w:r w:rsidR="00CB4DD4" w:rsidRPr="00CB4DD4">
        <w:rPr>
          <w:rFonts w:ascii="Calibri" w:eastAsia="Calibri" w:hAnsi="Calibri"/>
          <w:lang w:eastAsia="en-US"/>
        </w:rPr>
        <w:t>797/6</w:t>
      </w:r>
      <w:r w:rsidR="00CB4DD4">
        <w:rPr>
          <w:rFonts w:ascii="Calibri" w:eastAsia="Calibri" w:hAnsi="Calibri"/>
          <w:lang w:eastAsia="en-US"/>
        </w:rPr>
        <w:t>.</w:t>
      </w:r>
      <w:r w:rsidR="00CB4DD4" w:rsidRPr="00CB4DD4">
        <w:rPr>
          <w:rFonts w:ascii="Calibri" w:eastAsia="Calibri" w:hAnsi="Calibri"/>
          <w:lang w:eastAsia="en-US"/>
        </w:rPr>
        <w:t>798).</w:t>
      </w:r>
    </w:p>
    <w:p w:rsidR="00004994" w:rsidRDefault="00004994" w:rsidP="00CB4DD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B4DD4" w:rsidRPr="00CB4DD4" w:rsidRDefault="00CB4DD4" w:rsidP="00CB4DD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Já a</w:t>
      </w:r>
      <w:r w:rsidRPr="00CB4DD4">
        <w:rPr>
          <w:rFonts w:ascii="Calibri" w:eastAsia="Calibri" w:hAnsi="Calibri"/>
          <w:lang w:eastAsia="en-US"/>
        </w:rPr>
        <w:t xml:space="preserve"> Vigilância Sanitária de São Paulo (COVISA) encaminhou relatório das análises solicitadas, tendo concluído que todas as amostras </w:t>
      </w:r>
      <w:r>
        <w:rPr>
          <w:rFonts w:ascii="Calibri" w:eastAsia="Calibri" w:hAnsi="Calibri"/>
          <w:lang w:eastAsia="en-US"/>
        </w:rPr>
        <w:t xml:space="preserve">de água </w:t>
      </w:r>
      <w:r w:rsidRPr="00CB4DD4">
        <w:rPr>
          <w:rFonts w:ascii="Calibri" w:eastAsia="Calibri" w:hAnsi="Calibri"/>
          <w:lang w:eastAsia="en-US"/>
        </w:rPr>
        <w:t>estavam de acordo com as normas legais pertinentes, não se configurando qualquer problema de qualidade sanitária (fls. 6</w:t>
      </w:r>
      <w:r>
        <w:rPr>
          <w:rFonts w:ascii="Calibri" w:eastAsia="Calibri" w:hAnsi="Calibri"/>
          <w:lang w:eastAsia="en-US"/>
        </w:rPr>
        <w:t>.</w:t>
      </w:r>
      <w:r w:rsidRPr="00CB4DD4">
        <w:rPr>
          <w:rFonts w:ascii="Calibri" w:eastAsia="Calibri" w:hAnsi="Calibri"/>
          <w:lang w:eastAsia="en-US"/>
        </w:rPr>
        <w:t>805/6</w:t>
      </w:r>
      <w:r>
        <w:rPr>
          <w:rFonts w:ascii="Calibri" w:eastAsia="Calibri" w:hAnsi="Calibri"/>
          <w:lang w:eastAsia="en-US"/>
        </w:rPr>
        <w:t>.</w:t>
      </w:r>
      <w:r w:rsidRPr="00CB4DD4">
        <w:rPr>
          <w:rFonts w:ascii="Calibri" w:eastAsia="Calibri" w:hAnsi="Calibri"/>
          <w:lang w:eastAsia="en-US"/>
        </w:rPr>
        <w:t xml:space="preserve">881). </w:t>
      </w:r>
    </w:p>
    <w:p w:rsidR="008F4E57" w:rsidRDefault="008F4E57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5FC0" w:rsidRDefault="002C4C06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 xml:space="preserve">Após, </w:t>
      </w:r>
      <w:r w:rsidRPr="002C4C06">
        <w:rPr>
          <w:rFonts w:ascii="Calibri" w:eastAsia="Calibri" w:hAnsi="Calibri"/>
          <w:lang w:eastAsia="en-US"/>
        </w:rPr>
        <w:t>acostou-se aos autos cópia de decisão proferida nos autos nº 0005930-92.2014.403.610</w:t>
      </w:r>
      <w:r w:rsidR="00800281">
        <w:rPr>
          <w:rFonts w:ascii="Calibri" w:eastAsia="Calibri" w:hAnsi="Calibri"/>
          <w:lang w:eastAsia="en-US"/>
        </w:rPr>
        <w:t>0</w:t>
      </w:r>
      <w:r w:rsidRPr="002C4C06">
        <w:rPr>
          <w:rFonts w:ascii="Calibri" w:eastAsia="Calibri" w:hAnsi="Calibri"/>
          <w:lang w:eastAsia="en-US"/>
        </w:rPr>
        <w:t xml:space="preserve">, em trâmite na 13ª Vara </w:t>
      </w:r>
      <w:r w:rsidR="00800281">
        <w:rPr>
          <w:rFonts w:ascii="Calibri" w:eastAsia="Calibri" w:hAnsi="Calibri"/>
          <w:lang w:eastAsia="en-US"/>
        </w:rPr>
        <w:t>Federal</w:t>
      </w:r>
      <w:r w:rsidRPr="002C4C06">
        <w:rPr>
          <w:rFonts w:ascii="Calibri" w:eastAsia="Calibri" w:hAnsi="Calibri"/>
          <w:lang w:eastAsia="en-US"/>
        </w:rPr>
        <w:t xml:space="preserve"> de São Paulo</w:t>
      </w:r>
      <w:r>
        <w:rPr>
          <w:rFonts w:ascii="Calibri" w:eastAsia="Calibri" w:hAnsi="Calibri"/>
          <w:lang w:eastAsia="en-US"/>
        </w:rPr>
        <w:t>, decisão essa que deferiu em parte a tutela de urgência requerida</w:t>
      </w:r>
      <w:r w:rsidRPr="002C4C06">
        <w:rPr>
          <w:rFonts w:ascii="Calibri" w:eastAsia="Calibri" w:hAnsi="Calibri"/>
          <w:lang w:eastAsia="en-US"/>
        </w:rPr>
        <w:t xml:space="preserve"> (fls. 6</w:t>
      </w:r>
      <w:r>
        <w:rPr>
          <w:rFonts w:ascii="Calibri" w:eastAsia="Calibri" w:hAnsi="Calibri"/>
          <w:lang w:eastAsia="en-US"/>
        </w:rPr>
        <w:t>.</w:t>
      </w:r>
      <w:r w:rsidRPr="002C4C06">
        <w:rPr>
          <w:rFonts w:ascii="Calibri" w:eastAsia="Calibri" w:hAnsi="Calibri"/>
          <w:lang w:eastAsia="en-US"/>
        </w:rPr>
        <w:t>969/6</w:t>
      </w:r>
      <w:r>
        <w:rPr>
          <w:rFonts w:ascii="Calibri" w:eastAsia="Calibri" w:hAnsi="Calibri"/>
          <w:lang w:eastAsia="en-US"/>
        </w:rPr>
        <w:t>.</w:t>
      </w:r>
      <w:r w:rsidRPr="002C4C06">
        <w:rPr>
          <w:rFonts w:ascii="Calibri" w:eastAsia="Calibri" w:hAnsi="Calibri"/>
          <w:lang w:eastAsia="en-US"/>
        </w:rPr>
        <w:t xml:space="preserve">985). </w:t>
      </w:r>
      <w:r w:rsidR="00FA02F3" w:rsidRPr="00607AD8">
        <w:rPr>
          <w:rFonts w:ascii="Calibri" w:eastAsia="Calibri" w:hAnsi="Calibri"/>
          <w:lang w:eastAsia="en-US"/>
        </w:rPr>
        <w:t xml:space="preserve">Nesse sentido, a ANA encaminhou nota informativa conjunta elaborada pela agência com o fim de prestar esclarecimentos sobre a adoção das medidas pertinentes determinadas na aludida decisão judicial. Em referido documento, a </w:t>
      </w:r>
      <w:r w:rsidR="00FA02F3" w:rsidRPr="00607AD8">
        <w:rPr>
          <w:rFonts w:ascii="Calibri" w:eastAsia="Calibri" w:hAnsi="Calibri"/>
          <w:u w:val="single"/>
          <w:lang w:eastAsia="en-US"/>
        </w:rPr>
        <w:t>ANA</w:t>
      </w:r>
      <w:r w:rsidR="00FA02F3" w:rsidRPr="00607AD8">
        <w:rPr>
          <w:rFonts w:ascii="Calibri" w:eastAsia="Calibri" w:hAnsi="Calibri"/>
          <w:lang w:eastAsia="en-US"/>
        </w:rPr>
        <w:t xml:space="preserve"> esclareceu quais as formas de </w:t>
      </w:r>
      <w:r w:rsidR="00FA02F3" w:rsidRPr="00607AD8">
        <w:rPr>
          <w:rFonts w:ascii="Calibri" w:eastAsia="Calibri" w:hAnsi="Calibri"/>
          <w:u w:val="single"/>
          <w:lang w:eastAsia="en-US"/>
        </w:rPr>
        <w:t>divulgação das informações relativas aos recursos hídricos e fatores intervenientes em sua gestão</w:t>
      </w:r>
      <w:r w:rsidR="00FA02F3" w:rsidRPr="00607AD8">
        <w:rPr>
          <w:rFonts w:ascii="Calibri" w:eastAsia="Calibri" w:hAnsi="Calibri"/>
          <w:lang w:eastAsia="en-US"/>
        </w:rPr>
        <w:t>, conforme determinado em referida decisão judicial (fls. 7.165/7.166).</w:t>
      </w:r>
    </w:p>
    <w:p w:rsidR="00AC0C29" w:rsidRDefault="00AC0C29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731B3" w:rsidRDefault="00E731B3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Foi elaborado minucioso relatório às fls. 7007/7022, justificando-se, ao final, a prorrogação do procedimento sobretudo para se acompanhar o processo de renovação do Sistema Cantareira.</w:t>
      </w:r>
    </w:p>
    <w:p w:rsidR="00E731B3" w:rsidRDefault="00E731B3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C1CA4" w:rsidRPr="006C1CA4" w:rsidRDefault="006C1CA4" w:rsidP="006C1CA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6C1CA4">
        <w:rPr>
          <w:rFonts w:ascii="Calibri" w:eastAsia="Calibri" w:hAnsi="Calibri"/>
          <w:lang w:eastAsia="en-US"/>
        </w:rPr>
        <w:t>Ato contínuo, juntou-se aos autos parecer técnico elaborado por Assistente Técnico de Promotoria lotado no GAEMA PCJ Piracicaba acerca dos índices sobre o armazenamento do Sistema Cantareira divulgados pela SABESP, além da sugestão de um índice alternativo para informar sobre a situação dos mananciais (fls. 7</w:t>
      </w:r>
      <w:r>
        <w:rPr>
          <w:rFonts w:ascii="Calibri" w:eastAsia="Calibri" w:hAnsi="Calibri"/>
          <w:lang w:eastAsia="en-US"/>
        </w:rPr>
        <w:t>.</w:t>
      </w:r>
      <w:r w:rsidRPr="006C1CA4">
        <w:rPr>
          <w:rFonts w:ascii="Calibri" w:eastAsia="Calibri" w:hAnsi="Calibri"/>
          <w:lang w:eastAsia="en-US"/>
        </w:rPr>
        <w:t>171/7</w:t>
      </w:r>
      <w:r>
        <w:rPr>
          <w:rFonts w:ascii="Calibri" w:eastAsia="Calibri" w:hAnsi="Calibri"/>
          <w:lang w:eastAsia="en-US"/>
        </w:rPr>
        <w:t>.</w:t>
      </w:r>
      <w:r w:rsidRPr="006C1CA4">
        <w:rPr>
          <w:rFonts w:ascii="Calibri" w:eastAsia="Calibri" w:hAnsi="Calibri"/>
          <w:lang w:eastAsia="en-US"/>
        </w:rPr>
        <w:t xml:space="preserve">185). </w:t>
      </w:r>
    </w:p>
    <w:p w:rsidR="0078249B" w:rsidRDefault="0078249B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78249B" w:rsidRDefault="00A3330C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Na sequência, </w:t>
      </w:r>
      <w:r w:rsidRPr="00A3330C">
        <w:rPr>
          <w:rFonts w:ascii="Calibri" w:eastAsia="Calibri" w:hAnsi="Calibri"/>
          <w:lang w:eastAsia="en-US"/>
        </w:rPr>
        <w:t>foi apresentado parecer técnico pelo z. geólogo Paulo Brandão</w:t>
      </w:r>
      <w:r w:rsidR="00F209C8">
        <w:rPr>
          <w:rFonts w:ascii="Calibri" w:eastAsia="Calibri" w:hAnsi="Calibri"/>
          <w:lang w:eastAsia="en-US"/>
        </w:rPr>
        <w:t xml:space="preserve"> (fls. 7.292/7.305)</w:t>
      </w:r>
      <w:r w:rsidRPr="00A3330C">
        <w:rPr>
          <w:rFonts w:ascii="Calibri" w:eastAsia="Calibri" w:hAnsi="Calibri"/>
          <w:lang w:eastAsia="en-US"/>
        </w:rPr>
        <w:t xml:space="preserve">, no qual </w:t>
      </w:r>
      <w:r w:rsidR="00F209C8">
        <w:rPr>
          <w:rFonts w:ascii="Calibri" w:eastAsia="Calibri" w:hAnsi="Calibri"/>
          <w:lang w:eastAsia="en-US"/>
        </w:rPr>
        <w:t>foi analisada</w:t>
      </w:r>
      <w:r w:rsidRPr="00A3330C">
        <w:rPr>
          <w:rFonts w:ascii="Calibri" w:eastAsia="Calibri" w:hAnsi="Calibri"/>
          <w:lang w:eastAsia="en-US"/>
        </w:rPr>
        <w:t xml:space="preserve"> a minuta da proposta </w:t>
      </w:r>
      <w:r w:rsidR="00F209C8">
        <w:rPr>
          <w:rFonts w:ascii="Calibri" w:eastAsia="Calibri" w:hAnsi="Calibri"/>
          <w:lang w:eastAsia="en-US"/>
        </w:rPr>
        <w:t>de renovação da outorga do Cantareira</w:t>
      </w:r>
      <w:r w:rsidRPr="00A3330C">
        <w:rPr>
          <w:rFonts w:ascii="Calibri" w:eastAsia="Calibri" w:hAnsi="Calibri"/>
          <w:lang w:eastAsia="en-US"/>
        </w:rPr>
        <w:t xml:space="preserve">, sugerindo a inclusão </w:t>
      </w:r>
      <w:r w:rsidR="00F209C8">
        <w:rPr>
          <w:rFonts w:ascii="Calibri" w:eastAsia="Calibri" w:hAnsi="Calibri"/>
          <w:lang w:eastAsia="en-US"/>
        </w:rPr>
        <w:t xml:space="preserve">de alguns itens, tendo sido encaminhada cópia do parecer </w:t>
      </w:r>
      <w:r w:rsidR="00F209C8" w:rsidRPr="00F209C8">
        <w:rPr>
          <w:rFonts w:ascii="Calibri" w:eastAsia="Calibri" w:hAnsi="Calibri"/>
          <w:lang w:eastAsia="en-US"/>
        </w:rPr>
        <w:t>à ANA, com vistas a contribuir com as audiências públicas referentes à renovação da outorga do Sistema Cantareira (fl. 7</w:t>
      </w:r>
      <w:r w:rsidR="00F209C8">
        <w:rPr>
          <w:rFonts w:ascii="Calibri" w:eastAsia="Calibri" w:hAnsi="Calibri"/>
          <w:lang w:eastAsia="en-US"/>
        </w:rPr>
        <w:t>.</w:t>
      </w:r>
      <w:r w:rsidR="00F209C8" w:rsidRPr="00F209C8">
        <w:rPr>
          <w:rFonts w:ascii="Calibri" w:eastAsia="Calibri" w:hAnsi="Calibri"/>
          <w:lang w:eastAsia="en-US"/>
        </w:rPr>
        <w:t>319)</w:t>
      </w:r>
      <w:r w:rsidR="00F209C8">
        <w:rPr>
          <w:rFonts w:ascii="Calibri" w:eastAsia="Calibri" w:hAnsi="Calibri"/>
          <w:lang w:eastAsia="en-US"/>
        </w:rPr>
        <w:t>.</w:t>
      </w:r>
    </w:p>
    <w:p w:rsidR="00F209C8" w:rsidRDefault="00F209C8" w:rsidP="00EA2DD5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BF56F6" w:rsidRPr="00BF56F6" w:rsidRDefault="00F209C8" w:rsidP="00BF56F6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A4D87">
        <w:rPr>
          <w:rFonts w:ascii="Calibri" w:eastAsia="Calibri" w:hAnsi="Calibri"/>
          <w:u w:val="single"/>
          <w:lang w:eastAsia="en-US"/>
        </w:rPr>
        <w:t>A partir de então, o procedimento passou</w:t>
      </w:r>
      <w:r w:rsidR="00EA4D87">
        <w:rPr>
          <w:rFonts w:ascii="Calibri" w:eastAsia="Calibri" w:hAnsi="Calibri"/>
          <w:u w:val="single"/>
          <w:lang w:eastAsia="en-US"/>
        </w:rPr>
        <w:t xml:space="preserve"> </w:t>
      </w:r>
      <w:r w:rsidRPr="00EA4D87">
        <w:rPr>
          <w:rFonts w:ascii="Calibri" w:eastAsia="Calibri" w:hAnsi="Calibri"/>
          <w:u w:val="single"/>
          <w:lang w:eastAsia="en-US"/>
        </w:rPr>
        <w:t>a acompanhar</w:t>
      </w:r>
      <w:r w:rsidR="00760980">
        <w:rPr>
          <w:rFonts w:ascii="Calibri" w:eastAsia="Calibri" w:hAnsi="Calibri"/>
          <w:u w:val="single"/>
          <w:lang w:eastAsia="en-US"/>
        </w:rPr>
        <w:t xml:space="preserve"> principalmente</w:t>
      </w:r>
      <w:r w:rsidRPr="00EA4D87">
        <w:rPr>
          <w:rFonts w:ascii="Calibri" w:eastAsia="Calibri" w:hAnsi="Calibri"/>
          <w:u w:val="single"/>
          <w:lang w:eastAsia="en-US"/>
        </w:rPr>
        <w:t xml:space="preserve"> o procedimento </w:t>
      </w:r>
      <w:r w:rsidR="00BF56F6" w:rsidRPr="00EA4D87">
        <w:rPr>
          <w:rFonts w:ascii="Calibri" w:eastAsia="Calibri" w:hAnsi="Calibri"/>
          <w:u w:val="single"/>
          <w:lang w:eastAsia="en-US"/>
        </w:rPr>
        <w:t>de licenciamento e regularização ambiental do Sistema Cantareira</w:t>
      </w:r>
      <w:r w:rsidR="00BF56F6">
        <w:rPr>
          <w:rFonts w:ascii="Calibri" w:eastAsia="Calibri" w:hAnsi="Calibri"/>
          <w:lang w:eastAsia="en-US"/>
        </w:rPr>
        <w:t xml:space="preserve">. </w:t>
      </w:r>
      <w:r w:rsidR="00607AD8">
        <w:rPr>
          <w:rFonts w:ascii="Calibri" w:eastAsia="Calibri" w:hAnsi="Calibri"/>
          <w:lang w:eastAsia="en-US"/>
        </w:rPr>
        <w:t>Instada</w:t>
      </w:r>
      <w:r w:rsidR="00BF56F6">
        <w:rPr>
          <w:rFonts w:ascii="Calibri" w:eastAsia="Calibri" w:hAnsi="Calibri"/>
          <w:lang w:eastAsia="en-US"/>
        </w:rPr>
        <w:t xml:space="preserve">, </w:t>
      </w:r>
      <w:r w:rsidR="00BF56F6" w:rsidRPr="00BF56F6">
        <w:rPr>
          <w:rFonts w:ascii="Calibri" w:eastAsia="Calibri" w:hAnsi="Calibri"/>
          <w:lang w:eastAsia="en-US"/>
        </w:rPr>
        <w:t>a CETESB informou que a situação atinente ao licenciamento do Sistema Cantareira permanecia inalterada, sendo que as informações complementares apresentadas pela SABESP ainda se encontravam sob análise (fls. 7</w:t>
      </w:r>
      <w:r w:rsidR="00BF56F6">
        <w:rPr>
          <w:rFonts w:ascii="Calibri" w:eastAsia="Calibri" w:hAnsi="Calibri"/>
          <w:lang w:eastAsia="en-US"/>
        </w:rPr>
        <w:t>.</w:t>
      </w:r>
      <w:r w:rsidR="00BF56F6" w:rsidRPr="00BF56F6">
        <w:rPr>
          <w:rFonts w:ascii="Calibri" w:eastAsia="Calibri" w:hAnsi="Calibri"/>
          <w:lang w:eastAsia="en-US"/>
        </w:rPr>
        <w:t>353/7</w:t>
      </w:r>
      <w:r w:rsidR="00BF56F6">
        <w:rPr>
          <w:rFonts w:ascii="Calibri" w:eastAsia="Calibri" w:hAnsi="Calibri"/>
          <w:lang w:eastAsia="en-US"/>
        </w:rPr>
        <w:t>.</w:t>
      </w:r>
      <w:r w:rsidR="00BF56F6" w:rsidRPr="00BF56F6">
        <w:rPr>
          <w:rFonts w:ascii="Calibri" w:eastAsia="Calibri" w:hAnsi="Calibri"/>
          <w:lang w:eastAsia="en-US"/>
        </w:rPr>
        <w:t>354).</w:t>
      </w:r>
      <w:r w:rsidR="00BF56F6">
        <w:rPr>
          <w:rFonts w:ascii="Calibri" w:eastAsia="Calibri" w:hAnsi="Calibri"/>
          <w:lang w:eastAsia="en-US"/>
        </w:rPr>
        <w:t xml:space="preserve"> Após, a CETESB informou que </w:t>
      </w:r>
      <w:r w:rsidR="00BF56F6" w:rsidRPr="00BF56F6">
        <w:rPr>
          <w:rFonts w:ascii="Calibri" w:eastAsia="Calibri" w:hAnsi="Calibri"/>
          <w:lang w:eastAsia="en-US"/>
        </w:rPr>
        <w:t>estavam previstas vistorias técnicas aos componentes dos sistemas a partir de setembro de 2018 (fls. 7</w:t>
      </w:r>
      <w:r w:rsidR="00BF56F6">
        <w:rPr>
          <w:rFonts w:ascii="Calibri" w:eastAsia="Calibri" w:hAnsi="Calibri"/>
          <w:lang w:eastAsia="en-US"/>
        </w:rPr>
        <w:t>.</w:t>
      </w:r>
      <w:r w:rsidR="00BF56F6" w:rsidRPr="00BF56F6">
        <w:rPr>
          <w:rFonts w:ascii="Calibri" w:eastAsia="Calibri" w:hAnsi="Calibri"/>
          <w:lang w:eastAsia="en-US"/>
        </w:rPr>
        <w:t>381/7</w:t>
      </w:r>
      <w:r w:rsidR="00BF56F6">
        <w:rPr>
          <w:rFonts w:ascii="Calibri" w:eastAsia="Calibri" w:hAnsi="Calibri"/>
          <w:lang w:eastAsia="en-US"/>
        </w:rPr>
        <w:t>.</w:t>
      </w:r>
      <w:r w:rsidR="00BF56F6" w:rsidRPr="00BF56F6">
        <w:rPr>
          <w:rFonts w:ascii="Calibri" w:eastAsia="Calibri" w:hAnsi="Calibri"/>
          <w:lang w:eastAsia="en-US"/>
        </w:rPr>
        <w:t>382).</w:t>
      </w:r>
      <w:r w:rsidR="00C95091">
        <w:rPr>
          <w:rFonts w:ascii="Calibri" w:eastAsia="Calibri" w:hAnsi="Calibri"/>
          <w:lang w:eastAsia="en-US"/>
        </w:rPr>
        <w:t xml:space="preserve"> </w:t>
      </w:r>
    </w:p>
    <w:p w:rsidR="00BF56F6" w:rsidRDefault="00BF56F6" w:rsidP="00BF56F6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BF56F6" w:rsidRPr="00BF56F6" w:rsidRDefault="00BF56F6" w:rsidP="00BF56F6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BF56F6">
        <w:rPr>
          <w:rFonts w:ascii="Calibri" w:eastAsia="Calibri" w:hAnsi="Calibri"/>
          <w:lang w:eastAsia="en-US"/>
        </w:rPr>
        <w:t>Por sua vez, a SABESP enviou nota técnica contendo informações acerca da segurança operacional para o abastecimento da Região Metropolitana de São Paulo (RMSP), na qual forneceu dados sobre o funcionamento do sistema de abastecimento, sobre as obras e os investimentos realizados, além de explanar as ações de flexibilização entre os sistemas produtores da RMSP (fls. 7</w:t>
      </w:r>
      <w:r>
        <w:rPr>
          <w:rFonts w:ascii="Calibri" w:eastAsia="Calibri" w:hAnsi="Calibri"/>
          <w:lang w:eastAsia="en-US"/>
        </w:rPr>
        <w:t>.</w:t>
      </w:r>
      <w:r w:rsidRPr="00BF56F6">
        <w:rPr>
          <w:rFonts w:ascii="Calibri" w:eastAsia="Calibri" w:hAnsi="Calibri"/>
          <w:lang w:eastAsia="en-US"/>
        </w:rPr>
        <w:t>386/7</w:t>
      </w:r>
      <w:r>
        <w:rPr>
          <w:rFonts w:ascii="Calibri" w:eastAsia="Calibri" w:hAnsi="Calibri"/>
          <w:lang w:eastAsia="en-US"/>
        </w:rPr>
        <w:t>.</w:t>
      </w:r>
      <w:r w:rsidRPr="00BF56F6">
        <w:rPr>
          <w:rFonts w:ascii="Calibri" w:eastAsia="Calibri" w:hAnsi="Calibri"/>
          <w:lang w:eastAsia="en-US"/>
        </w:rPr>
        <w:t xml:space="preserve">403). </w:t>
      </w:r>
    </w:p>
    <w:p w:rsidR="00BF56F6" w:rsidRDefault="00BF56F6" w:rsidP="00BF56F6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C95091" w:rsidRDefault="00C95091" w:rsidP="00BF56F6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 última informação prestada pela CETESB acerca do procedimento de licenciamento e regularização ambiental do Sistema Cantareira foi que teria sido solicitado à SABESP o detalhamento de algumas informações do Relatório de Regularização Ambiental – RRA (fl. 7.</w:t>
      </w:r>
      <w:r w:rsidR="00760980">
        <w:rPr>
          <w:rFonts w:ascii="Calibri" w:eastAsia="Calibri" w:hAnsi="Calibri"/>
          <w:lang w:eastAsia="en-US"/>
        </w:rPr>
        <w:t>4</w:t>
      </w:r>
      <w:r>
        <w:rPr>
          <w:rFonts w:ascii="Calibri" w:eastAsia="Calibri" w:hAnsi="Calibri"/>
          <w:lang w:eastAsia="en-US"/>
        </w:rPr>
        <w:t xml:space="preserve">49). </w:t>
      </w:r>
    </w:p>
    <w:p w:rsidR="00D52130" w:rsidRDefault="00D52130" w:rsidP="00BF56F6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D52130" w:rsidRDefault="00D52130" w:rsidP="00D52130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447C73">
        <w:rPr>
          <w:rFonts w:ascii="Calibri" w:eastAsia="Calibri" w:hAnsi="Calibri"/>
          <w:u w:val="single"/>
          <w:lang w:eastAsia="en-US"/>
        </w:rPr>
        <w:t>Ressalte-se que, no tocante</w:t>
      </w:r>
      <w:r w:rsidRPr="00447C73">
        <w:rPr>
          <w:rFonts w:ascii="Calibri" w:eastAsia="Calibri" w:hAnsi="Calibri"/>
          <w:u w:val="single"/>
          <w:lang w:eastAsia="en-US"/>
        </w:rPr>
        <w:t xml:space="preserve"> à regularização/licenciamento do Sistema Cantareira, </w:t>
      </w:r>
      <w:r w:rsidRPr="00447C73">
        <w:rPr>
          <w:rFonts w:ascii="Calibri" w:eastAsia="Calibri" w:hAnsi="Calibri"/>
          <w:u w:val="single"/>
          <w:lang w:eastAsia="en-US"/>
        </w:rPr>
        <w:t xml:space="preserve">o assunto </w:t>
      </w:r>
      <w:r w:rsidRPr="00447C73">
        <w:rPr>
          <w:rFonts w:ascii="Calibri" w:eastAsia="Calibri" w:hAnsi="Calibri"/>
          <w:u w:val="single"/>
          <w:lang w:eastAsia="en-US"/>
        </w:rPr>
        <w:t>já está sendo devidamente tratada pelo GAEMA PCJ-Piracicaba,</w:t>
      </w:r>
      <w:r w:rsidRPr="00447C73">
        <w:rPr>
          <w:rFonts w:ascii="Calibri" w:eastAsia="Calibri" w:hAnsi="Calibri"/>
          <w:u w:val="single"/>
          <w:lang w:eastAsia="en-US"/>
        </w:rPr>
        <w:t xml:space="preserve"> como se observa das cópias dos a</w:t>
      </w:r>
      <w:r w:rsidRPr="00447C73">
        <w:rPr>
          <w:rFonts w:ascii="Calibri" w:eastAsia="Calibri" w:hAnsi="Calibri"/>
          <w:u w:val="single"/>
          <w:lang w:eastAsia="en-US"/>
        </w:rPr>
        <w:t>utos n. 14.1096.0000006/2013-9, fls. 7.466/7.500</w:t>
      </w:r>
      <w:r w:rsidRPr="00447C73">
        <w:rPr>
          <w:rFonts w:ascii="Calibri" w:eastAsia="Calibri" w:hAnsi="Calibri"/>
          <w:u w:val="single"/>
          <w:lang w:eastAsia="en-US"/>
        </w:rPr>
        <w:t>, acostadas ao presente procedimento</w:t>
      </w:r>
      <w:r w:rsidRPr="00447C73">
        <w:rPr>
          <w:rFonts w:ascii="Calibri" w:eastAsia="Calibri" w:hAnsi="Calibri"/>
          <w:u w:val="single"/>
          <w:lang w:eastAsia="en-US"/>
        </w:rPr>
        <w:t xml:space="preserve">, tendo já sido solicitado à </w:t>
      </w:r>
      <w:r w:rsidRPr="00447C73">
        <w:rPr>
          <w:rFonts w:ascii="Calibri" w:eastAsia="Calibri" w:hAnsi="Calibri"/>
          <w:u w:val="single"/>
          <w:lang w:eastAsia="en-US"/>
        </w:rPr>
        <w:t>E</w:t>
      </w:r>
      <w:r w:rsidRPr="00447C73">
        <w:rPr>
          <w:rFonts w:ascii="Calibri" w:eastAsia="Calibri" w:hAnsi="Calibri"/>
          <w:u w:val="single"/>
          <w:lang w:eastAsia="en-US"/>
        </w:rPr>
        <w:t>. Procuradoria Geral de Justiça a expedição de portaria para que este integrante do Núcleo Cabeceiras do GAEMA tenha atuação conjunt</w:t>
      </w:r>
      <w:r w:rsidR="00447C73" w:rsidRPr="00447C73">
        <w:rPr>
          <w:rFonts w:ascii="Calibri" w:eastAsia="Calibri" w:hAnsi="Calibri"/>
          <w:u w:val="single"/>
          <w:lang w:eastAsia="en-US"/>
        </w:rPr>
        <w:t>a</w:t>
      </w:r>
      <w:r w:rsidRPr="00447C73">
        <w:rPr>
          <w:rFonts w:ascii="Calibri" w:eastAsia="Calibri" w:hAnsi="Calibri"/>
          <w:u w:val="single"/>
          <w:lang w:eastAsia="en-US"/>
        </w:rPr>
        <w:t xml:space="preserve"> no aludido feito, fl. 7.462</w:t>
      </w:r>
      <w:r>
        <w:rPr>
          <w:rFonts w:ascii="Calibri" w:eastAsia="Calibri" w:hAnsi="Calibri"/>
          <w:lang w:eastAsia="en-US"/>
        </w:rPr>
        <w:t xml:space="preserve">. </w:t>
      </w:r>
    </w:p>
    <w:p w:rsidR="00396EEB" w:rsidRDefault="00396EEB" w:rsidP="00BF56F6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DE5C24" w:rsidRPr="00DE5C24" w:rsidRDefault="00DE5C24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DE5C24">
        <w:rPr>
          <w:rFonts w:ascii="Calibri" w:eastAsia="Calibri" w:hAnsi="Calibri"/>
          <w:lang w:eastAsia="en-US"/>
        </w:rPr>
        <w:t>É este o breve relatório das diligências até aqui levadas a efeito.</w:t>
      </w:r>
    </w:p>
    <w:p w:rsidR="008E0049" w:rsidRDefault="008E0049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83325A" w:rsidRDefault="00EA4D87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Em apertada síntese, vislumbra-se que a presente investigação teve início em um momento no qual o Estado de São Paulo e, especialmente, a Região Metropolitana de São Paulo, passava por uma severa crise de abastecimento de seus reservatórios, de modo que este Ministério Público buscou atuar visando a minimizar seus efeitos perante à população. Nesse sentido, diversos aspectos relacionados à crise hídrica foram tratados ao longo da investigação, a saber, a qualidade da água dos reservatórios, a preocupação com o volume do Sistema Cantareira</w:t>
      </w:r>
      <w:r w:rsidR="00854B14">
        <w:rPr>
          <w:rFonts w:ascii="Calibri" w:eastAsia="Calibri" w:hAnsi="Calibri"/>
          <w:lang w:eastAsia="en-US"/>
        </w:rPr>
        <w:t xml:space="preserve"> e com o abastecimento da RMSP, tendo em vista a possibilidade de racionamento de água, a renovação da outorga do Sistema Cantareira, a transferência de vazão entre os rios e reservatórios dos Sistemas Produtores Cantareira e Alto Tietê, a adoção de tarifas de contingência, dentre outros.  </w:t>
      </w:r>
    </w:p>
    <w:p w:rsidR="00EA4D87" w:rsidRDefault="00EA4D87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A4D87" w:rsidRDefault="00854B14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Esta investigação</w:t>
      </w:r>
      <w:r w:rsidR="00760980">
        <w:rPr>
          <w:rFonts w:ascii="Calibri" w:eastAsia="Calibri" w:hAnsi="Calibri"/>
          <w:lang w:eastAsia="en-US"/>
        </w:rPr>
        <w:t xml:space="preserve"> trouxe por resultado, dentre outros</w:t>
      </w:r>
      <w:r>
        <w:rPr>
          <w:rFonts w:ascii="Calibri" w:eastAsia="Calibri" w:hAnsi="Calibri"/>
          <w:lang w:eastAsia="en-US"/>
        </w:rPr>
        <w:t xml:space="preserve">, consoante exposto, </w:t>
      </w:r>
      <w:r w:rsidR="00760980">
        <w:rPr>
          <w:rFonts w:ascii="Calibri" w:eastAsia="Calibri" w:hAnsi="Calibri"/>
          <w:lang w:eastAsia="en-US"/>
        </w:rPr>
        <w:t>a</w:t>
      </w:r>
      <w:r>
        <w:rPr>
          <w:rFonts w:ascii="Calibri" w:eastAsia="Calibri" w:hAnsi="Calibri"/>
          <w:lang w:eastAsia="en-US"/>
        </w:rPr>
        <w:t xml:space="preserve"> </w:t>
      </w:r>
      <w:r w:rsidR="00645B0D">
        <w:rPr>
          <w:rFonts w:ascii="Calibri" w:eastAsia="Calibri" w:hAnsi="Calibri"/>
          <w:lang w:eastAsia="en-US"/>
        </w:rPr>
        <w:t xml:space="preserve">parcial </w:t>
      </w:r>
      <w:r>
        <w:rPr>
          <w:rFonts w:ascii="Calibri" w:eastAsia="Calibri" w:hAnsi="Calibri"/>
          <w:lang w:eastAsia="en-US"/>
        </w:rPr>
        <w:t xml:space="preserve">procedência da ação civil </w:t>
      </w:r>
      <w:r w:rsidRPr="00854B14">
        <w:rPr>
          <w:rFonts w:ascii="Calibri" w:eastAsia="Calibri" w:hAnsi="Calibri"/>
          <w:lang w:eastAsia="en-US"/>
        </w:rPr>
        <w:t>pública nº 1013197.21.2015.8.26.0053,</w:t>
      </w:r>
      <w:r w:rsidRPr="00682A04">
        <w:rPr>
          <w:rFonts w:ascii="Calibri" w:eastAsia="Calibri" w:hAnsi="Calibri"/>
          <w:lang w:eastAsia="en-US"/>
        </w:rPr>
        <w:t xml:space="preserve"> </w:t>
      </w:r>
      <w:r w:rsidR="00682A04" w:rsidRPr="00210067">
        <w:rPr>
          <w:rFonts w:ascii="Calibri" w:eastAsia="Calibri" w:hAnsi="Calibri"/>
          <w:u w:val="single"/>
          <w:lang w:eastAsia="en-US"/>
        </w:rPr>
        <w:t>obrigando à SABESP a realizar a divulgação do volume dos reservatórios sem considerar a reserva técnica</w:t>
      </w:r>
      <w:r w:rsidR="00682A04">
        <w:rPr>
          <w:rFonts w:ascii="Calibri" w:eastAsia="Calibri" w:hAnsi="Calibri"/>
          <w:lang w:eastAsia="en-US"/>
        </w:rPr>
        <w:t>,</w:t>
      </w:r>
      <w:r w:rsidR="00210067">
        <w:rPr>
          <w:rFonts w:ascii="Calibri" w:eastAsia="Calibri" w:hAnsi="Calibri"/>
          <w:lang w:eastAsia="en-US"/>
        </w:rPr>
        <w:t xml:space="preserve"> ou seja, a divulgar “índices negativos” quando da utilização do “volume morto”,</w:t>
      </w:r>
      <w:r w:rsidR="00682A04">
        <w:rPr>
          <w:rFonts w:ascii="Calibri" w:eastAsia="Calibri" w:hAnsi="Calibri"/>
          <w:lang w:eastAsia="en-US"/>
        </w:rPr>
        <w:t xml:space="preserve"> como medida que privilegia o acesso </w:t>
      </w:r>
      <w:r w:rsidR="00D80B3E">
        <w:rPr>
          <w:rFonts w:ascii="Calibri" w:eastAsia="Calibri" w:hAnsi="Calibri"/>
          <w:lang w:eastAsia="en-US"/>
        </w:rPr>
        <w:t>da</w:t>
      </w:r>
      <w:r w:rsidR="00682A04">
        <w:rPr>
          <w:rFonts w:ascii="Calibri" w:eastAsia="Calibri" w:hAnsi="Calibri"/>
          <w:lang w:eastAsia="en-US"/>
        </w:rPr>
        <w:t xml:space="preserve"> população a informações fidedignas. </w:t>
      </w:r>
    </w:p>
    <w:p w:rsidR="00682A04" w:rsidRDefault="00682A04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83325A" w:rsidRPr="00682A04" w:rsidRDefault="00682A04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É certo que, passado o auge da crise hídrica, o</w:t>
      </w:r>
      <w:r w:rsidR="00305F57">
        <w:rPr>
          <w:rFonts w:ascii="Calibri" w:eastAsia="Calibri" w:hAnsi="Calibri"/>
          <w:lang w:eastAsia="en-US"/>
        </w:rPr>
        <w:t xml:space="preserve"> fato que restou a ser investigado</w:t>
      </w:r>
      <w:r w:rsidR="00D80B3E">
        <w:rPr>
          <w:rFonts w:ascii="Calibri" w:eastAsia="Calibri" w:hAnsi="Calibri"/>
          <w:lang w:eastAsia="en-US"/>
        </w:rPr>
        <w:t>, ao menos por ora,</w:t>
      </w:r>
      <w:r w:rsidR="00760980">
        <w:rPr>
          <w:rFonts w:ascii="Calibri" w:eastAsia="Calibri" w:hAnsi="Calibri"/>
          <w:lang w:eastAsia="en-US"/>
        </w:rPr>
        <w:t xml:space="preserve"> nos presentes autos</w:t>
      </w:r>
      <w:r w:rsidR="00305F57">
        <w:rPr>
          <w:rFonts w:ascii="Calibri" w:eastAsia="Calibri" w:hAnsi="Calibri"/>
          <w:lang w:eastAsia="en-US"/>
        </w:rPr>
        <w:t xml:space="preserve"> é a </w:t>
      </w:r>
      <w:r w:rsidR="00D80B3E">
        <w:rPr>
          <w:rFonts w:ascii="Calibri" w:eastAsia="Calibri" w:hAnsi="Calibri"/>
          <w:u w:val="single"/>
          <w:lang w:eastAsia="en-US"/>
        </w:rPr>
        <w:t>regularização</w:t>
      </w:r>
      <w:r w:rsidR="0083325A" w:rsidRPr="00210067">
        <w:rPr>
          <w:rFonts w:ascii="Calibri" w:eastAsia="Calibri" w:hAnsi="Calibri"/>
          <w:u w:val="single"/>
          <w:lang w:eastAsia="en-US"/>
        </w:rPr>
        <w:t xml:space="preserve"> do Sistema Cantareira</w:t>
      </w:r>
      <w:r w:rsidR="00305F57">
        <w:rPr>
          <w:rFonts w:ascii="Calibri" w:eastAsia="Calibri" w:hAnsi="Calibri"/>
          <w:lang w:eastAsia="en-US"/>
        </w:rPr>
        <w:t xml:space="preserve">, fato que já </w:t>
      </w:r>
      <w:r w:rsidR="0083325A" w:rsidRPr="00682A04">
        <w:rPr>
          <w:rFonts w:ascii="Calibri" w:eastAsia="Calibri" w:hAnsi="Calibri"/>
          <w:lang w:eastAsia="en-US"/>
        </w:rPr>
        <w:t xml:space="preserve">é </w:t>
      </w:r>
      <w:r w:rsidR="00D80B3E">
        <w:rPr>
          <w:rFonts w:ascii="Calibri" w:eastAsia="Calibri" w:hAnsi="Calibri"/>
          <w:lang w:eastAsia="en-US"/>
        </w:rPr>
        <w:t>tratado no bojo</w:t>
      </w:r>
      <w:r w:rsidR="0083325A" w:rsidRPr="00682A04">
        <w:rPr>
          <w:rFonts w:ascii="Calibri" w:eastAsia="Calibri" w:hAnsi="Calibri"/>
          <w:lang w:eastAsia="en-US"/>
        </w:rPr>
        <w:t xml:space="preserve"> do IC nº 14.1096.0000006/2013-9, em </w:t>
      </w:r>
      <w:r w:rsidR="00210067">
        <w:rPr>
          <w:rFonts w:ascii="Calibri" w:eastAsia="Calibri" w:hAnsi="Calibri"/>
          <w:lang w:eastAsia="en-US"/>
        </w:rPr>
        <w:t>regular trâmite junto</w:t>
      </w:r>
      <w:r w:rsidR="0083325A" w:rsidRPr="00682A04">
        <w:rPr>
          <w:rFonts w:ascii="Calibri" w:eastAsia="Calibri" w:hAnsi="Calibri"/>
          <w:lang w:eastAsia="en-US"/>
        </w:rPr>
        <w:t xml:space="preserve"> GAEMA PCJ-Piracicaba</w:t>
      </w:r>
      <w:r w:rsidR="00760980">
        <w:rPr>
          <w:rFonts w:ascii="Calibri" w:eastAsia="Calibri" w:hAnsi="Calibri"/>
          <w:lang w:eastAsia="en-US"/>
        </w:rPr>
        <w:t xml:space="preserve"> (fls. 7.427/7.439)</w:t>
      </w:r>
      <w:r w:rsidR="00305F57">
        <w:rPr>
          <w:rFonts w:ascii="Calibri" w:eastAsia="Calibri" w:hAnsi="Calibri"/>
          <w:lang w:eastAsia="en-US"/>
        </w:rPr>
        <w:t>.</w:t>
      </w:r>
      <w:r w:rsidR="00CA3D54">
        <w:rPr>
          <w:rFonts w:ascii="Calibri" w:eastAsia="Calibri" w:hAnsi="Calibri"/>
          <w:lang w:eastAsia="en-US"/>
        </w:rPr>
        <w:t xml:space="preserve"> </w:t>
      </w:r>
    </w:p>
    <w:p w:rsidR="0083325A" w:rsidRDefault="0083325A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305F57" w:rsidRDefault="006C228A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Em face do exposto, resta claro que, no tocante à tutela do meio ambiente, não há </w:t>
      </w:r>
      <w:r w:rsidR="000A6BE8">
        <w:rPr>
          <w:rFonts w:ascii="Calibri" w:eastAsia="Calibri" w:hAnsi="Calibri"/>
          <w:lang w:eastAsia="en-US"/>
        </w:rPr>
        <w:t>motivos</w:t>
      </w:r>
      <w:r>
        <w:rPr>
          <w:rFonts w:ascii="Calibri" w:eastAsia="Calibri" w:hAnsi="Calibri"/>
          <w:lang w:eastAsia="en-US"/>
        </w:rPr>
        <w:t xml:space="preserve"> para o prosseguimento desta investigação</w:t>
      </w:r>
      <w:r w:rsidR="007218E1">
        <w:rPr>
          <w:rFonts w:ascii="Calibri" w:eastAsia="Calibri" w:hAnsi="Calibri"/>
          <w:lang w:eastAsia="en-US"/>
        </w:rPr>
        <w:t xml:space="preserve">. </w:t>
      </w:r>
      <w:r w:rsidR="00210067">
        <w:rPr>
          <w:rFonts w:ascii="Calibri" w:eastAsia="Calibri" w:hAnsi="Calibri"/>
          <w:lang w:eastAsia="en-US"/>
        </w:rPr>
        <w:t>O inquérito civil</w:t>
      </w:r>
      <w:r w:rsidR="00305F57">
        <w:rPr>
          <w:rFonts w:ascii="Calibri" w:eastAsia="Calibri" w:hAnsi="Calibri"/>
          <w:lang w:eastAsia="en-US"/>
        </w:rPr>
        <w:t xml:space="preserve"> já se prolonga há quase seis anos, com objeto muito amplo, tendo em vista que </w:t>
      </w:r>
      <w:r w:rsidR="00830873">
        <w:rPr>
          <w:rFonts w:ascii="Calibri" w:eastAsia="Calibri" w:hAnsi="Calibri"/>
          <w:lang w:eastAsia="en-US"/>
        </w:rPr>
        <w:t>visou a</w:t>
      </w:r>
      <w:r w:rsidR="00305F57">
        <w:rPr>
          <w:rFonts w:ascii="Calibri" w:eastAsia="Calibri" w:hAnsi="Calibri"/>
          <w:lang w:eastAsia="en-US"/>
        </w:rPr>
        <w:t xml:space="preserve"> abarcar várias vertentes de enfrentamento à crise hídrica.</w:t>
      </w:r>
    </w:p>
    <w:p w:rsidR="00305F57" w:rsidRDefault="00305F57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830873" w:rsidRDefault="00305F57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De fato, passados todos esses anos, </w:t>
      </w:r>
      <w:r w:rsidR="00830873">
        <w:rPr>
          <w:rFonts w:ascii="Calibri" w:eastAsia="Calibri" w:hAnsi="Calibri"/>
          <w:lang w:eastAsia="en-US"/>
        </w:rPr>
        <w:t xml:space="preserve">passou também o auge da crise hídrica. Ressalte-se que, para enfrentamento do tema, foram </w:t>
      </w:r>
      <w:r>
        <w:rPr>
          <w:rFonts w:ascii="Calibri" w:eastAsia="Calibri" w:hAnsi="Calibri"/>
          <w:lang w:eastAsia="en-US"/>
        </w:rPr>
        <w:t xml:space="preserve">adotadas medidas </w:t>
      </w:r>
      <w:r w:rsidR="00210067">
        <w:rPr>
          <w:rFonts w:ascii="Calibri" w:eastAsia="Calibri" w:hAnsi="Calibri"/>
          <w:lang w:eastAsia="en-US"/>
        </w:rPr>
        <w:t>pelo poder</w:t>
      </w:r>
      <w:r>
        <w:rPr>
          <w:rFonts w:ascii="Calibri" w:eastAsia="Calibri" w:hAnsi="Calibri"/>
          <w:lang w:eastAsia="en-US"/>
        </w:rPr>
        <w:t xml:space="preserve"> público para o combate à situação vivenciada pelo Estado de </w:t>
      </w:r>
      <w:r w:rsidR="00DF2FAD">
        <w:rPr>
          <w:rFonts w:ascii="Calibri" w:eastAsia="Calibri" w:hAnsi="Calibri"/>
          <w:lang w:eastAsia="en-US"/>
        </w:rPr>
        <w:t>São Paulo</w:t>
      </w:r>
      <w:r w:rsidR="00830873">
        <w:rPr>
          <w:rFonts w:ascii="Calibri" w:eastAsia="Calibri" w:hAnsi="Calibri"/>
          <w:lang w:eastAsia="en-US"/>
        </w:rPr>
        <w:t>, algumas delas objeto de ações civis ou inquéritos civis em andamento, não se vislumbrando qualquer outra contribuição adicional que o prosseguimento da presente investigação possa dar</w:t>
      </w:r>
      <w:r w:rsidR="00DF2FAD">
        <w:rPr>
          <w:rFonts w:ascii="Calibri" w:eastAsia="Calibri" w:hAnsi="Calibri"/>
          <w:lang w:eastAsia="en-US"/>
        </w:rPr>
        <w:t>.</w:t>
      </w:r>
      <w:r w:rsidR="00830873">
        <w:rPr>
          <w:rFonts w:ascii="Calibri" w:eastAsia="Calibri" w:hAnsi="Calibri"/>
          <w:lang w:eastAsia="en-US"/>
        </w:rPr>
        <w:t xml:space="preserve"> É claro que, com o surgimento de qualquer fato novo, uma nova investigação deverá ser iniciada.</w:t>
      </w:r>
    </w:p>
    <w:p w:rsidR="00830873" w:rsidRDefault="00830873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305F57" w:rsidRDefault="00830873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Outrossim,</w:t>
      </w:r>
      <w:r w:rsidR="00D80B3E">
        <w:rPr>
          <w:rFonts w:ascii="Calibri" w:eastAsia="Calibri" w:hAnsi="Calibri"/>
          <w:lang w:eastAsia="en-US"/>
        </w:rPr>
        <w:t xml:space="preserve"> repita-se,</w:t>
      </w:r>
      <w:r>
        <w:rPr>
          <w:rFonts w:ascii="Calibri" w:eastAsia="Calibri" w:hAnsi="Calibri"/>
          <w:lang w:eastAsia="en-US"/>
        </w:rPr>
        <w:t xml:space="preserve"> a</w:t>
      </w:r>
      <w:r w:rsidR="00DF2FAD">
        <w:rPr>
          <w:rFonts w:ascii="Calibri" w:eastAsia="Calibri" w:hAnsi="Calibri"/>
          <w:lang w:eastAsia="en-US"/>
        </w:rPr>
        <w:t xml:space="preserve"> questão que restou a ser acompanhada</w:t>
      </w:r>
      <w:r>
        <w:rPr>
          <w:rFonts w:ascii="Calibri" w:eastAsia="Calibri" w:hAnsi="Calibri"/>
          <w:lang w:eastAsia="en-US"/>
        </w:rPr>
        <w:t xml:space="preserve"> nos presentes autos</w:t>
      </w:r>
      <w:r w:rsidR="00DF2FAD">
        <w:rPr>
          <w:rFonts w:ascii="Calibri" w:eastAsia="Calibri" w:hAnsi="Calibri"/>
          <w:lang w:eastAsia="en-US"/>
        </w:rPr>
        <w:t xml:space="preserve">, relativa à </w:t>
      </w:r>
      <w:r w:rsidR="00D52130">
        <w:rPr>
          <w:rFonts w:ascii="Calibri" w:eastAsia="Calibri" w:hAnsi="Calibri"/>
          <w:lang w:eastAsia="en-US"/>
        </w:rPr>
        <w:t>regularização/licenciamento</w:t>
      </w:r>
      <w:r w:rsidR="00DF2FAD">
        <w:rPr>
          <w:rFonts w:ascii="Calibri" w:eastAsia="Calibri" w:hAnsi="Calibri"/>
          <w:lang w:eastAsia="en-US"/>
        </w:rPr>
        <w:t xml:space="preserve"> do Sistema Cantareira, já está sendo devidamente tratada pelo GAEMA PCJ-Piracicaba</w:t>
      </w:r>
      <w:r>
        <w:rPr>
          <w:rFonts w:ascii="Calibri" w:eastAsia="Calibri" w:hAnsi="Calibri"/>
          <w:lang w:eastAsia="en-US"/>
        </w:rPr>
        <w:t>, como acima ponderado</w:t>
      </w:r>
      <w:r w:rsidR="00D52130">
        <w:rPr>
          <w:rFonts w:ascii="Calibri" w:eastAsia="Calibri" w:hAnsi="Calibri"/>
          <w:lang w:eastAsia="en-US"/>
        </w:rPr>
        <w:t xml:space="preserve"> (autos n. 14.1096.0000006/2013-9, fls. 7.466/7.500), tendo já sido solicitado à </w:t>
      </w:r>
      <w:r w:rsidR="00D80B3E">
        <w:rPr>
          <w:rFonts w:ascii="Calibri" w:eastAsia="Calibri" w:hAnsi="Calibri"/>
          <w:lang w:eastAsia="en-US"/>
        </w:rPr>
        <w:t>E</w:t>
      </w:r>
      <w:r w:rsidR="00D52130">
        <w:rPr>
          <w:rFonts w:ascii="Calibri" w:eastAsia="Calibri" w:hAnsi="Calibri"/>
          <w:lang w:eastAsia="en-US"/>
        </w:rPr>
        <w:t>. Procuradoria Geral de Justiça a expedição de portaria para que este integrante do Núcleo Cabeceiras do GAEMA tenha atuação conjunt</w:t>
      </w:r>
      <w:r w:rsidR="008C24F6">
        <w:rPr>
          <w:rFonts w:ascii="Calibri" w:eastAsia="Calibri" w:hAnsi="Calibri"/>
          <w:lang w:eastAsia="en-US"/>
        </w:rPr>
        <w:t>a</w:t>
      </w:r>
      <w:r w:rsidR="00D52130">
        <w:rPr>
          <w:rFonts w:ascii="Calibri" w:eastAsia="Calibri" w:hAnsi="Calibri"/>
          <w:lang w:eastAsia="en-US"/>
        </w:rPr>
        <w:t xml:space="preserve"> no aludido feito, fl. 7.462. Ressalte-se que tal </w:t>
      </w:r>
      <w:r w:rsidR="00D80B3E">
        <w:rPr>
          <w:rFonts w:ascii="Calibri" w:eastAsia="Calibri" w:hAnsi="Calibri"/>
          <w:lang w:eastAsia="en-US"/>
        </w:rPr>
        <w:t>providência</w:t>
      </w:r>
      <w:r w:rsidR="00D52130">
        <w:rPr>
          <w:rFonts w:ascii="Calibri" w:eastAsia="Calibri" w:hAnsi="Calibri"/>
          <w:lang w:eastAsia="en-US"/>
        </w:rPr>
        <w:t xml:space="preserve"> - atuação </w:t>
      </w:r>
      <w:r w:rsidR="00D52130">
        <w:rPr>
          <w:rFonts w:ascii="Calibri" w:eastAsia="Calibri" w:hAnsi="Calibri"/>
          <w:lang w:eastAsia="en-US"/>
        </w:rPr>
        <w:lastRenderedPageBreak/>
        <w:t xml:space="preserve">conjunta – mostra-se salutar, posto que </w:t>
      </w:r>
      <w:bookmarkStart w:id="1" w:name="_GoBack"/>
      <w:bookmarkEnd w:id="1"/>
      <w:r w:rsidR="00D52130">
        <w:rPr>
          <w:rFonts w:ascii="Calibri" w:eastAsia="Calibri" w:hAnsi="Calibri"/>
          <w:lang w:eastAsia="en-US"/>
        </w:rPr>
        <w:t>otimiza o trabalho, ressaltando a relevância da atuação articulada entre os vários órgãos ministeriais.</w:t>
      </w:r>
    </w:p>
    <w:p w:rsidR="00305F57" w:rsidRDefault="00305F57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7218E1" w:rsidRDefault="007218E1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7218E1">
        <w:rPr>
          <w:rFonts w:ascii="Calibri" w:eastAsia="Calibri" w:hAnsi="Calibri"/>
          <w:lang w:eastAsia="en-US"/>
        </w:rPr>
        <w:t>Portanto, no que tange à proteção ao meio ambiente, interesse difuso constitucionalmente assegurado a todos, e às atribuições deste GAEMA - Núcleo Cabeceiras, vislumbram-se</w:t>
      </w:r>
      <w:r w:rsidR="00830873">
        <w:rPr>
          <w:rFonts w:ascii="Calibri" w:eastAsia="Calibri" w:hAnsi="Calibri"/>
          <w:lang w:eastAsia="en-US"/>
        </w:rPr>
        <w:t>, s.m.j.,</w:t>
      </w:r>
      <w:r w:rsidRPr="007218E1">
        <w:rPr>
          <w:rFonts w:ascii="Calibri" w:eastAsia="Calibri" w:hAnsi="Calibri"/>
          <w:lang w:eastAsia="en-US"/>
        </w:rPr>
        <w:t xml:space="preserve"> suficientes todas as </w:t>
      </w:r>
      <w:r w:rsidR="00830873">
        <w:rPr>
          <w:rFonts w:ascii="Calibri" w:eastAsia="Calibri" w:hAnsi="Calibri"/>
          <w:lang w:eastAsia="en-US"/>
        </w:rPr>
        <w:t>providências adotadas pelo Ministério Público no</w:t>
      </w:r>
      <w:r w:rsidR="00210067">
        <w:rPr>
          <w:rFonts w:ascii="Calibri" w:eastAsia="Calibri" w:hAnsi="Calibri"/>
          <w:lang w:eastAsia="en-US"/>
        </w:rPr>
        <w:t xml:space="preserve"> </w:t>
      </w:r>
      <w:r w:rsidR="00830873">
        <w:rPr>
          <w:rFonts w:ascii="Calibri" w:eastAsia="Calibri" w:hAnsi="Calibri"/>
          <w:lang w:eastAsia="en-US"/>
        </w:rPr>
        <w:t>bojo deste procedimento, não se vislumbrando justa causa para o seu prosseguimento.</w:t>
      </w:r>
    </w:p>
    <w:p w:rsidR="007218E1" w:rsidRDefault="007218E1" w:rsidP="00DE5C2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99161F" w:rsidRPr="00DE5C24" w:rsidRDefault="00DE5C24" w:rsidP="0099161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DE5C24">
        <w:rPr>
          <w:rFonts w:ascii="Calibri" w:eastAsia="Calibri" w:hAnsi="Calibri"/>
          <w:lang w:eastAsia="en-US"/>
        </w:rPr>
        <w:t>Em razão do exposto, promovo, nos termos dos artigos 91, 99 e 100, d</w:t>
      </w:r>
      <w:r w:rsidR="0058604F">
        <w:rPr>
          <w:rFonts w:ascii="Calibri" w:eastAsia="Calibri" w:hAnsi="Calibri"/>
          <w:lang w:eastAsia="en-US"/>
        </w:rPr>
        <w:t>a</w:t>
      </w:r>
      <w:r w:rsidRPr="00DE5C24">
        <w:rPr>
          <w:rFonts w:ascii="Calibri" w:eastAsia="Calibri" w:hAnsi="Calibri"/>
          <w:lang w:eastAsia="en-US"/>
        </w:rPr>
        <w:t xml:space="preserve"> </w:t>
      </w:r>
      <w:r w:rsidR="0058604F">
        <w:rPr>
          <w:rFonts w:ascii="Calibri" w:eastAsia="Calibri" w:hAnsi="Calibri"/>
          <w:lang w:eastAsia="en-US"/>
        </w:rPr>
        <w:t>Resolução</w:t>
      </w:r>
      <w:r w:rsidRPr="00DE5C24">
        <w:rPr>
          <w:rFonts w:ascii="Calibri" w:eastAsia="Calibri" w:hAnsi="Calibri"/>
          <w:lang w:eastAsia="en-US"/>
        </w:rPr>
        <w:t xml:space="preserve"> n.º 484-CPJ, de 5 de outubro de 2006</w:t>
      </w:r>
      <w:r w:rsidR="00B2658F">
        <w:rPr>
          <w:rFonts w:ascii="Calibri" w:eastAsia="Calibri" w:hAnsi="Calibri"/>
          <w:lang w:eastAsia="en-US"/>
        </w:rPr>
        <w:t>,</w:t>
      </w:r>
      <w:r w:rsidRPr="00DE5C24">
        <w:rPr>
          <w:rFonts w:ascii="Calibri" w:eastAsia="Calibri" w:hAnsi="Calibri"/>
          <w:lang w:eastAsia="en-US"/>
        </w:rPr>
        <w:t xml:space="preserve"> o </w:t>
      </w:r>
      <w:r w:rsidRPr="008B28E4">
        <w:rPr>
          <w:rFonts w:ascii="Calibri" w:eastAsia="Calibri" w:hAnsi="Calibri"/>
          <w:b/>
          <w:lang w:eastAsia="en-US"/>
        </w:rPr>
        <w:t>ARQUIVAMENTO</w:t>
      </w:r>
      <w:r w:rsidRPr="00DE5C24">
        <w:rPr>
          <w:rFonts w:ascii="Calibri" w:eastAsia="Calibri" w:hAnsi="Calibri"/>
          <w:lang w:eastAsia="en-US"/>
        </w:rPr>
        <w:t xml:space="preserve"> dos presentes autos e determino a sua remessa ao Egrégio Conselho Superior do Ministério Público do Estado de São Paulo, para análise e eventual homologação desta manifestação.  </w:t>
      </w:r>
    </w:p>
    <w:p w:rsidR="009B667A" w:rsidRPr="009E3972" w:rsidRDefault="009B667A" w:rsidP="009E3972">
      <w:pPr>
        <w:spacing w:line="276" w:lineRule="auto"/>
        <w:ind w:firstLine="1701"/>
        <w:rPr>
          <w:rFonts w:ascii="Calibri" w:eastAsia="Calibri" w:hAnsi="Calibri"/>
          <w:b/>
          <w:u w:val="single"/>
          <w:lang w:eastAsia="en-US"/>
        </w:rPr>
      </w:pPr>
    </w:p>
    <w:p w:rsidR="009E3972" w:rsidRDefault="008B28E4" w:rsidP="008B28E4">
      <w:pPr>
        <w:spacing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</w:t>
      </w:r>
      <w:r w:rsidR="009E3972" w:rsidRPr="009E3972">
        <w:rPr>
          <w:rFonts w:ascii="Calibri" w:eastAsia="Calibri" w:hAnsi="Calibri"/>
          <w:lang w:eastAsia="en-US"/>
        </w:rPr>
        <w:t xml:space="preserve">ão Paulo, </w:t>
      </w:r>
      <w:r w:rsidR="00830873">
        <w:rPr>
          <w:rFonts w:ascii="Calibri" w:eastAsia="Calibri" w:hAnsi="Calibri"/>
          <w:lang w:eastAsia="en-US"/>
        </w:rPr>
        <w:t>1</w:t>
      </w:r>
      <w:r w:rsidR="00FA1EAA">
        <w:rPr>
          <w:rFonts w:ascii="Calibri" w:eastAsia="Calibri" w:hAnsi="Calibri"/>
          <w:lang w:eastAsia="en-US"/>
        </w:rPr>
        <w:t>4</w:t>
      </w:r>
      <w:r w:rsidR="00A43E16">
        <w:rPr>
          <w:rFonts w:ascii="Calibri" w:eastAsia="Calibri" w:hAnsi="Calibri"/>
          <w:lang w:eastAsia="en-US"/>
        </w:rPr>
        <w:t xml:space="preserve"> de </w:t>
      </w:r>
      <w:r w:rsidR="00C95091">
        <w:rPr>
          <w:rFonts w:ascii="Calibri" w:eastAsia="Calibri" w:hAnsi="Calibri"/>
          <w:lang w:eastAsia="en-US"/>
        </w:rPr>
        <w:t xml:space="preserve">fevereiro </w:t>
      </w:r>
      <w:r w:rsidR="00A43E16">
        <w:rPr>
          <w:rFonts w:ascii="Calibri" w:eastAsia="Calibri" w:hAnsi="Calibri"/>
          <w:lang w:eastAsia="en-US"/>
        </w:rPr>
        <w:t>de 2020</w:t>
      </w:r>
      <w:r w:rsidR="009E3972" w:rsidRPr="009E3972">
        <w:rPr>
          <w:rFonts w:ascii="Calibri" w:eastAsia="Calibri" w:hAnsi="Calibri"/>
          <w:lang w:eastAsia="en-US"/>
        </w:rPr>
        <w:t>.</w:t>
      </w:r>
    </w:p>
    <w:p w:rsidR="009E3972" w:rsidRDefault="009E3972" w:rsidP="008B28E4">
      <w:pPr>
        <w:spacing w:line="276" w:lineRule="auto"/>
        <w:ind w:firstLine="1701"/>
        <w:jc w:val="center"/>
        <w:rPr>
          <w:rFonts w:ascii="Calibri" w:eastAsia="Calibri" w:hAnsi="Calibri"/>
          <w:lang w:eastAsia="en-US"/>
        </w:rPr>
      </w:pPr>
    </w:p>
    <w:p w:rsidR="0058604F" w:rsidRPr="009E3972" w:rsidRDefault="0058604F" w:rsidP="008B28E4">
      <w:pPr>
        <w:spacing w:line="276" w:lineRule="auto"/>
        <w:ind w:firstLine="1701"/>
        <w:jc w:val="center"/>
        <w:rPr>
          <w:rFonts w:ascii="Calibri" w:eastAsia="Calibri" w:hAnsi="Calibri"/>
          <w:lang w:eastAsia="en-US"/>
        </w:rPr>
      </w:pPr>
    </w:p>
    <w:p w:rsidR="009E3972" w:rsidRPr="009E3972" w:rsidRDefault="009E3972" w:rsidP="008B28E4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9E3972">
        <w:rPr>
          <w:rFonts w:ascii="Calibri" w:eastAsia="Calibri" w:hAnsi="Calibri"/>
          <w:b/>
          <w:lang w:eastAsia="en-US"/>
        </w:rPr>
        <w:t>LEANDRO HENRIQUE FERREIRA LEME</w:t>
      </w:r>
    </w:p>
    <w:p w:rsidR="009E3972" w:rsidRPr="009E3972" w:rsidRDefault="009E3972" w:rsidP="008B28E4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9E3972">
        <w:rPr>
          <w:rFonts w:ascii="Calibri" w:eastAsia="Calibri" w:hAnsi="Calibri"/>
          <w:lang w:eastAsia="en-US"/>
        </w:rPr>
        <w:t>Promotor de Justiça</w:t>
      </w:r>
    </w:p>
    <w:p w:rsidR="009E3972" w:rsidRPr="009E3972" w:rsidRDefault="009E3972" w:rsidP="008B28E4">
      <w:pPr>
        <w:spacing w:line="276" w:lineRule="auto"/>
        <w:ind w:firstLine="1701"/>
        <w:jc w:val="center"/>
        <w:rPr>
          <w:rFonts w:ascii="Calibri" w:eastAsia="Calibri" w:hAnsi="Calibri"/>
          <w:lang w:eastAsia="en-US"/>
        </w:rPr>
      </w:pPr>
    </w:p>
    <w:p w:rsidR="009E3972" w:rsidRPr="009E3972" w:rsidRDefault="009E3972" w:rsidP="008B28E4">
      <w:pPr>
        <w:spacing w:line="276" w:lineRule="auto"/>
        <w:ind w:firstLine="1701"/>
        <w:jc w:val="center"/>
        <w:rPr>
          <w:rFonts w:ascii="Calibri" w:eastAsia="Calibri" w:hAnsi="Calibri"/>
          <w:lang w:eastAsia="en-US"/>
        </w:rPr>
      </w:pPr>
    </w:p>
    <w:p w:rsidR="009E3972" w:rsidRPr="009E3972" w:rsidRDefault="009E3972" w:rsidP="008B28E4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9E3972">
        <w:rPr>
          <w:rFonts w:ascii="Calibri" w:eastAsia="Calibri" w:hAnsi="Calibri"/>
          <w:b/>
          <w:lang w:eastAsia="en-US"/>
        </w:rPr>
        <w:t>LÍVIA BRASILIENSE GENTILE</w:t>
      </w:r>
    </w:p>
    <w:p w:rsidR="009E3972" w:rsidRPr="009E3972" w:rsidRDefault="009E3972" w:rsidP="008B28E4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9E3972">
        <w:rPr>
          <w:rFonts w:ascii="Calibri" w:eastAsia="Calibri" w:hAnsi="Calibri"/>
          <w:lang w:eastAsia="en-US"/>
        </w:rPr>
        <w:t>Analista Jurídica</w:t>
      </w:r>
      <w:bookmarkEnd w:id="0"/>
    </w:p>
    <w:sectPr w:rsidR="009E3972" w:rsidRPr="009E3972" w:rsidSect="00A96729">
      <w:headerReference w:type="default" r:id="rId10"/>
      <w:footerReference w:type="default" r:id="rId11"/>
      <w:pgSz w:w="11906" w:h="16838"/>
      <w:pgMar w:top="1701" w:right="1134" w:bottom="1134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ABB" w:rsidRDefault="002A7ABB" w:rsidP="009F7412">
      <w:r>
        <w:separator/>
      </w:r>
    </w:p>
  </w:endnote>
  <w:endnote w:type="continuationSeparator" w:id="0">
    <w:p w:rsidR="002A7ABB" w:rsidRDefault="002A7ABB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690" w:rsidRDefault="0014091B" w:rsidP="005D2C35">
    <w:pPr>
      <w:pStyle w:val="Rodap"/>
      <w:jc w:val="center"/>
      <w:rPr>
        <w:rFonts w:ascii="Arial" w:hAnsi="Arial" w:cs="Arial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-123191</wp:posOffset>
              </wp:positionV>
              <wp:extent cx="5934075" cy="0"/>
              <wp:effectExtent l="0" t="0" r="0" b="0"/>
              <wp:wrapNone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3EF2C" id="Conector reto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" strokecolor="#c00000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="00F46690">
      <w:rPr>
        <w:rFonts w:ascii="Arial" w:hAnsi="Arial" w:cs="Arial"/>
      </w:rPr>
      <w:t>Rua Riachuelo</w:t>
    </w:r>
    <w:r w:rsidR="005D2C35" w:rsidRPr="005D2C35">
      <w:rPr>
        <w:rFonts w:ascii="Arial" w:hAnsi="Arial" w:cs="Arial"/>
      </w:rPr>
      <w:t xml:space="preserve">, nº </w:t>
    </w:r>
    <w:r w:rsidR="00F46690">
      <w:rPr>
        <w:rFonts w:ascii="Arial" w:hAnsi="Arial" w:cs="Arial"/>
      </w:rPr>
      <w:t xml:space="preserve">115, 3º andar, sala 309 </w:t>
    </w:r>
    <w:r w:rsidR="005D2C35" w:rsidRPr="005D2C35">
      <w:rPr>
        <w:rFonts w:ascii="Arial" w:hAnsi="Arial" w:cs="Arial"/>
      </w:rPr>
      <w:t xml:space="preserve">- </w:t>
    </w:r>
    <w:r w:rsidR="00F46690">
      <w:rPr>
        <w:rFonts w:ascii="Arial" w:hAnsi="Arial" w:cs="Arial"/>
      </w:rPr>
      <w:t>Centro</w:t>
    </w:r>
    <w:r w:rsidR="005D2C35" w:rsidRPr="005D2C35">
      <w:rPr>
        <w:rFonts w:ascii="Arial" w:hAnsi="Arial" w:cs="Arial"/>
      </w:rPr>
      <w:t xml:space="preserve"> | </w:t>
    </w:r>
    <w:r w:rsidR="00F46690">
      <w:rPr>
        <w:rFonts w:ascii="Arial" w:hAnsi="Arial" w:cs="Arial"/>
      </w:rPr>
      <w:t>São Paulo</w:t>
    </w:r>
    <w:r w:rsidR="005D2C35" w:rsidRPr="005D2C35">
      <w:rPr>
        <w:rFonts w:ascii="Arial" w:hAnsi="Arial" w:cs="Arial"/>
      </w:rPr>
      <w:t>/SP</w:t>
    </w:r>
  </w:p>
  <w:p w:rsidR="005D2C35" w:rsidRPr="005D2C35" w:rsidRDefault="00F46690" w:rsidP="005D2C3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gaema_cabeceiras@mpsp.mp.br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ABB" w:rsidRDefault="002A7ABB" w:rsidP="009F7412">
      <w:r>
        <w:separator/>
      </w:r>
    </w:p>
  </w:footnote>
  <w:footnote w:type="continuationSeparator" w:id="0">
    <w:p w:rsidR="002A7ABB" w:rsidRDefault="002A7ABB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215"/>
      <w:gridCol w:w="2754"/>
    </w:tblGrid>
    <w:tr w:rsidR="005D2C35" w:rsidTr="00A91ECC">
      <w:tc>
        <w:tcPr>
          <w:tcW w:w="5240" w:type="dxa"/>
          <w:tcBorders>
            <w:right w:val="single" w:sz="12" w:space="0" w:color="C00000"/>
          </w:tcBorders>
          <w:shd w:val="clear" w:color="auto" w:fill="auto"/>
          <w:vAlign w:val="center"/>
        </w:tcPr>
        <w:p w:rsidR="009F7412" w:rsidRPr="00B431B5" w:rsidRDefault="0014091B">
          <w:pPr>
            <w:pStyle w:val="Cabealho"/>
          </w:pPr>
          <w:r w:rsidRPr="00EE4999">
            <w:rPr>
              <w:noProof/>
              <w:lang w:eastAsia="pt-BR"/>
            </w:rPr>
            <w:drawing>
              <wp:inline distT="0" distB="0" distL="0" distR="0">
                <wp:extent cx="2514600" cy="298450"/>
                <wp:effectExtent l="0" t="0" r="0" b="0"/>
                <wp:docPr id="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" w:type="dxa"/>
          <w:tcBorders>
            <w:left w:val="single" w:sz="12" w:space="0" w:color="C00000"/>
          </w:tcBorders>
          <w:shd w:val="clear" w:color="auto" w:fill="auto"/>
        </w:tcPr>
        <w:p w:rsidR="009F7412" w:rsidRPr="00B431B5" w:rsidRDefault="009F7412" w:rsidP="00B431B5">
          <w:pPr>
            <w:pStyle w:val="Cabealho"/>
            <w:jc w:val="both"/>
            <w:rPr>
              <w:szCs w:val="28"/>
            </w:rPr>
          </w:pPr>
        </w:p>
      </w:tc>
      <w:tc>
        <w:tcPr>
          <w:tcW w:w="2754" w:type="dxa"/>
          <w:shd w:val="clear" w:color="auto" w:fill="auto"/>
          <w:vAlign w:val="bottom"/>
        </w:tcPr>
        <w:p w:rsidR="009F7412" w:rsidRPr="00A91ECC" w:rsidRDefault="00897211" w:rsidP="00A91ECC">
          <w:pPr>
            <w:pStyle w:val="Cabealho"/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A91ECC">
            <w:rPr>
              <w:rFonts w:ascii="Arial" w:hAnsi="Arial" w:cs="Arial"/>
              <w:sz w:val="20"/>
              <w:szCs w:val="20"/>
            </w:rPr>
            <w:t xml:space="preserve">GAEMA </w:t>
          </w:r>
          <w:r w:rsidR="00A91ECC" w:rsidRPr="00A91ECC">
            <w:rPr>
              <w:rFonts w:ascii="Arial" w:hAnsi="Arial" w:cs="Arial"/>
              <w:sz w:val="20"/>
              <w:szCs w:val="20"/>
            </w:rPr>
            <w:t xml:space="preserve">NÚCLEO </w:t>
          </w:r>
          <w:r w:rsidRPr="00A91ECC">
            <w:rPr>
              <w:rFonts w:ascii="Arial" w:hAnsi="Arial" w:cs="Arial"/>
              <w:sz w:val="20"/>
              <w:szCs w:val="20"/>
            </w:rPr>
            <w:t>CABECEIRAS</w:t>
          </w:r>
          <w:r w:rsidR="001E5771" w:rsidRPr="00A91ECC">
            <w:rPr>
              <w:rFonts w:ascii="Arial" w:hAnsi="Arial" w:cs="Arial"/>
              <w:sz w:val="20"/>
              <w:szCs w:val="20"/>
            </w:rPr>
            <w:br/>
          </w:r>
        </w:p>
      </w:tc>
    </w:tr>
  </w:tbl>
  <w:p w:rsidR="005D2C35" w:rsidRDefault="0014091B" w:rsidP="00A96729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158749</wp:posOffset>
              </wp:positionV>
              <wp:extent cx="5934075" cy="0"/>
              <wp:effectExtent l="0" t="0" r="0" b="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37622" id="Conector reto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" strokecolor="#c00000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668E3"/>
    <w:multiLevelType w:val="hybridMultilevel"/>
    <w:tmpl w:val="B964C898"/>
    <w:lvl w:ilvl="0" w:tplc="CBE4625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64EF6A43"/>
    <w:multiLevelType w:val="hybridMultilevel"/>
    <w:tmpl w:val="A9EEC30C"/>
    <w:lvl w:ilvl="0" w:tplc="37BC7EB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1210"/>
    <w:rsid w:val="00003470"/>
    <w:rsid w:val="00004994"/>
    <w:rsid w:val="00004E13"/>
    <w:rsid w:val="0001050F"/>
    <w:rsid w:val="000109A4"/>
    <w:rsid w:val="00031BED"/>
    <w:rsid w:val="00031F61"/>
    <w:rsid w:val="00032503"/>
    <w:rsid w:val="00032BBA"/>
    <w:rsid w:val="000416EC"/>
    <w:rsid w:val="00044A5A"/>
    <w:rsid w:val="00050BDB"/>
    <w:rsid w:val="00052B3E"/>
    <w:rsid w:val="00073E91"/>
    <w:rsid w:val="00084762"/>
    <w:rsid w:val="000902BB"/>
    <w:rsid w:val="000919D5"/>
    <w:rsid w:val="000A5A87"/>
    <w:rsid w:val="000A6BE8"/>
    <w:rsid w:val="000C2077"/>
    <w:rsid w:val="000C4B03"/>
    <w:rsid w:val="000C4C34"/>
    <w:rsid w:val="000D2070"/>
    <w:rsid w:val="000D2C58"/>
    <w:rsid w:val="000E24ED"/>
    <w:rsid w:val="000E259C"/>
    <w:rsid w:val="000E38A7"/>
    <w:rsid w:val="000E75E2"/>
    <w:rsid w:val="000F008F"/>
    <w:rsid w:val="000F7ECB"/>
    <w:rsid w:val="00101DE2"/>
    <w:rsid w:val="0010467A"/>
    <w:rsid w:val="00114C0E"/>
    <w:rsid w:val="0011581E"/>
    <w:rsid w:val="00121285"/>
    <w:rsid w:val="001244C1"/>
    <w:rsid w:val="0014091B"/>
    <w:rsid w:val="00152086"/>
    <w:rsid w:val="00175F67"/>
    <w:rsid w:val="00195246"/>
    <w:rsid w:val="0019525F"/>
    <w:rsid w:val="001A0E2B"/>
    <w:rsid w:val="001A42FF"/>
    <w:rsid w:val="001B0BCA"/>
    <w:rsid w:val="001B7694"/>
    <w:rsid w:val="001D5596"/>
    <w:rsid w:val="001D71B8"/>
    <w:rsid w:val="001E025F"/>
    <w:rsid w:val="001E5771"/>
    <w:rsid w:val="001E7061"/>
    <w:rsid w:val="001E73DF"/>
    <w:rsid w:val="002019DC"/>
    <w:rsid w:val="00202608"/>
    <w:rsid w:val="00210067"/>
    <w:rsid w:val="002224BB"/>
    <w:rsid w:val="002250FF"/>
    <w:rsid w:val="002266F6"/>
    <w:rsid w:val="00230A49"/>
    <w:rsid w:val="0023432C"/>
    <w:rsid w:val="002375B3"/>
    <w:rsid w:val="00244A1B"/>
    <w:rsid w:val="00246532"/>
    <w:rsid w:val="002606E6"/>
    <w:rsid w:val="00262435"/>
    <w:rsid w:val="002749EB"/>
    <w:rsid w:val="002753E9"/>
    <w:rsid w:val="002973C6"/>
    <w:rsid w:val="0029764B"/>
    <w:rsid w:val="002A7ABB"/>
    <w:rsid w:val="002B3A82"/>
    <w:rsid w:val="002B5B25"/>
    <w:rsid w:val="002B5FDD"/>
    <w:rsid w:val="002C2645"/>
    <w:rsid w:val="002C4C06"/>
    <w:rsid w:val="002C6158"/>
    <w:rsid w:val="002D316E"/>
    <w:rsid w:val="002D75C1"/>
    <w:rsid w:val="002E040F"/>
    <w:rsid w:val="002F5D1B"/>
    <w:rsid w:val="00305F57"/>
    <w:rsid w:val="00307A6E"/>
    <w:rsid w:val="00313307"/>
    <w:rsid w:val="003235BC"/>
    <w:rsid w:val="00332167"/>
    <w:rsid w:val="0034742E"/>
    <w:rsid w:val="00361472"/>
    <w:rsid w:val="0036298E"/>
    <w:rsid w:val="003638DD"/>
    <w:rsid w:val="00380DC9"/>
    <w:rsid w:val="00385B2A"/>
    <w:rsid w:val="0038631B"/>
    <w:rsid w:val="00386CF9"/>
    <w:rsid w:val="00395D33"/>
    <w:rsid w:val="00396EEB"/>
    <w:rsid w:val="003A2269"/>
    <w:rsid w:val="003B5301"/>
    <w:rsid w:val="003B6AC3"/>
    <w:rsid w:val="003B6B6A"/>
    <w:rsid w:val="003C143C"/>
    <w:rsid w:val="003C1DD1"/>
    <w:rsid w:val="003D5970"/>
    <w:rsid w:val="003D7FA2"/>
    <w:rsid w:val="003F38F3"/>
    <w:rsid w:val="00402EB6"/>
    <w:rsid w:val="00412621"/>
    <w:rsid w:val="00423CC3"/>
    <w:rsid w:val="0043085A"/>
    <w:rsid w:val="00431637"/>
    <w:rsid w:val="00442AA4"/>
    <w:rsid w:val="004444D9"/>
    <w:rsid w:val="00447C73"/>
    <w:rsid w:val="0045682B"/>
    <w:rsid w:val="00461F33"/>
    <w:rsid w:val="00464245"/>
    <w:rsid w:val="0046520E"/>
    <w:rsid w:val="0046548C"/>
    <w:rsid w:val="00465AE6"/>
    <w:rsid w:val="00470603"/>
    <w:rsid w:val="00471F3A"/>
    <w:rsid w:val="00487EE3"/>
    <w:rsid w:val="004A1BA1"/>
    <w:rsid w:val="004B0E46"/>
    <w:rsid w:val="004B2BAE"/>
    <w:rsid w:val="004B4A9B"/>
    <w:rsid w:val="004B4BE8"/>
    <w:rsid w:val="004C4712"/>
    <w:rsid w:val="004C7844"/>
    <w:rsid w:val="004D475C"/>
    <w:rsid w:val="004E2A0D"/>
    <w:rsid w:val="004E47C5"/>
    <w:rsid w:val="00500657"/>
    <w:rsid w:val="005064AC"/>
    <w:rsid w:val="00523405"/>
    <w:rsid w:val="00523A73"/>
    <w:rsid w:val="005253A0"/>
    <w:rsid w:val="00535941"/>
    <w:rsid w:val="00552232"/>
    <w:rsid w:val="00555404"/>
    <w:rsid w:val="00560B76"/>
    <w:rsid w:val="00560E64"/>
    <w:rsid w:val="00563705"/>
    <w:rsid w:val="00570551"/>
    <w:rsid w:val="00571BA5"/>
    <w:rsid w:val="00571DC7"/>
    <w:rsid w:val="00572C10"/>
    <w:rsid w:val="0057738B"/>
    <w:rsid w:val="00585E68"/>
    <w:rsid w:val="00585E7A"/>
    <w:rsid w:val="0058604F"/>
    <w:rsid w:val="005905B7"/>
    <w:rsid w:val="0059521D"/>
    <w:rsid w:val="005C12AD"/>
    <w:rsid w:val="005C130F"/>
    <w:rsid w:val="005C2A34"/>
    <w:rsid w:val="005C6926"/>
    <w:rsid w:val="005D0C7C"/>
    <w:rsid w:val="005D2C35"/>
    <w:rsid w:val="005D2C36"/>
    <w:rsid w:val="005D5C3B"/>
    <w:rsid w:val="005D7DC7"/>
    <w:rsid w:val="005E2870"/>
    <w:rsid w:val="005E37AA"/>
    <w:rsid w:val="005F2E33"/>
    <w:rsid w:val="0060503A"/>
    <w:rsid w:val="00607AD8"/>
    <w:rsid w:val="0061092B"/>
    <w:rsid w:val="006232C1"/>
    <w:rsid w:val="006247A1"/>
    <w:rsid w:val="00634991"/>
    <w:rsid w:val="00645B0D"/>
    <w:rsid w:val="00647B9E"/>
    <w:rsid w:val="00650F04"/>
    <w:rsid w:val="006535CC"/>
    <w:rsid w:val="0065482F"/>
    <w:rsid w:val="0065603B"/>
    <w:rsid w:val="0065621E"/>
    <w:rsid w:val="00660234"/>
    <w:rsid w:val="00662AD8"/>
    <w:rsid w:val="00664907"/>
    <w:rsid w:val="006808FF"/>
    <w:rsid w:val="00682928"/>
    <w:rsid w:val="00682A04"/>
    <w:rsid w:val="0069264B"/>
    <w:rsid w:val="006939BA"/>
    <w:rsid w:val="006A7F57"/>
    <w:rsid w:val="006C1CA4"/>
    <w:rsid w:val="006C228A"/>
    <w:rsid w:val="006D457A"/>
    <w:rsid w:val="006E565D"/>
    <w:rsid w:val="006F3644"/>
    <w:rsid w:val="006F37A5"/>
    <w:rsid w:val="006F5959"/>
    <w:rsid w:val="006F6E91"/>
    <w:rsid w:val="007218E1"/>
    <w:rsid w:val="007224F0"/>
    <w:rsid w:val="00733F5A"/>
    <w:rsid w:val="00736FF8"/>
    <w:rsid w:val="007475DF"/>
    <w:rsid w:val="007536BE"/>
    <w:rsid w:val="00760980"/>
    <w:rsid w:val="007640E8"/>
    <w:rsid w:val="00767C65"/>
    <w:rsid w:val="00776919"/>
    <w:rsid w:val="0078249B"/>
    <w:rsid w:val="007937B4"/>
    <w:rsid w:val="007966E3"/>
    <w:rsid w:val="007A07AB"/>
    <w:rsid w:val="007B1417"/>
    <w:rsid w:val="007C5593"/>
    <w:rsid w:val="007C73DA"/>
    <w:rsid w:val="007E31A1"/>
    <w:rsid w:val="007E46F1"/>
    <w:rsid w:val="007F2ADB"/>
    <w:rsid w:val="00800281"/>
    <w:rsid w:val="00803094"/>
    <w:rsid w:val="00805467"/>
    <w:rsid w:val="008070D2"/>
    <w:rsid w:val="008129D9"/>
    <w:rsid w:val="00830222"/>
    <w:rsid w:val="00830873"/>
    <w:rsid w:val="00830CBA"/>
    <w:rsid w:val="0083153C"/>
    <w:rsid w:val="0083325A"/>
    <w:rsid w:val="008334A5"/>
    <w:rsid w:val="00834A8D"/>
    <w:rsid w:val="008449EB"/>
    <w:rsid w:val="00851FA7"/>
    <w:rsid w:val="00854B14"/>
    <w:rsid w:val="008659D3"/>
    <w:rsid w:val="00866A3B"/>
    <w:rsid w:val="00870528"/>
    <w:rsid w:val="008748A3"/>
    <w:rsid w:val="00877C97"/>
    <w:rsid w:val="008832E4"/>
    <w:rsid w:val="008848CA"/>
    <w:rsid w:val="00886951"/>
    <w:rsid w:val="00890231"/>
    <w:rsid w:val="00890EEE"/>
    <w:rsid w:val="00894731"/>
    <w:rsid w:val="00897211"/>
    <w:rsid w:val="008A484B"/>
    <w:rsid w:val="008B20A3"/>
    <w:rsid w:val="008B28E4"/>
    <w:rsid w:val="008B4AC3"/>
    <w:rsid w:val="008B7CA8"/>
    <w:rsid w:val="008C1550"/>
    <w:rsid w:val="008C24F6"/>
    <w:rsid w:val="008E0049"/>
    <w:rsid w:val="008E3056"/>
    <w:rsid w:val="008E62E0"/>
    <w:rsid w:val="008F2F17"/>
    <w:rsid w:val="008F3824"/>
    <w:rsid w:val="008F40A4"/>
    <w:rsid w:val="008F4E57"/>
    <w:rsid w:val="00901B84"/>
    <w:rsid w:val="0090257C"/>
    <w:rsid w:val="0090674E"/>
    <w:rsid w:val="00914048"/>
    <w:rsid w:val="009236C8"/>
    <w:rsid w:val="00931CE9"/>
    <w:rsid w:val="0094242F"/>
    <w:rsid w:val="0094398C"/>
    <w:rsid w:val="00943C08"/>
    <w:rsid w:val="0096285C"/>
    <w:rsid w:val="00972569"/>
    <w:rsid w:val="00974A4E"/>
    <w:rsid w:val="00975BE6"/>
    <w:rsid w:val="00977BB2"/>
    <w:rsid w:val="0099161F"/>
    <w:rsid w:val="009A112A"/>
    <w:rsid w:val="009B667A"/>
    <w:rsid w:val="009C3076"/>
    <w:rsid w:val="009C653E"/>
    <w:rsid w:val="009C7E27"/>
    <w:rsid w:val="009D1108"/>
    <w:rsid w:val="009D4976"/>
    <w:rsid w:val="009D6B27"/>
    <w:rsid w:val="009E2402"/>
    <w:rsid w:val="009E3972"/>
    <w:rsid w:val="009E3AFF"/>
    <w:rsid w:val="009E7AB1"/>
    <w:rsid w:val="009F280D"/>
    <w:rsid w:val="009F622F"/>
    <w:rsid w:val="009F7412"/>
    <w:rsid w:val="00A040EC"/>
    <w:rsid w:val="00A05B8E"/>
    <w:rsid w:val="00A13E1B"/>
    <w:rsid w:val="00A14ACB"/>
    <w:rsid w:val="00A17781"/>
    <w:rsid w:val="00A2743B"/>
    <w:rsid w:val="00A3062E"/>
    <w:rsid w:val="00A3330C"/>
    <w:rsid w:val="00A43E16"/>
    <w:rsid w:val="00A46108"/>
    <w:rsid w:val="00A477B5"/>
    <w:rsid w:val="00A527A2"/>
    <w:rsid w:val="00A529EC"/>
    <w:rsid w:val="00A558E2"/>
    <w:rsid w:val="00A563B9"/>
    <w:rsid w:val="00A807FA"/>
    <w:rsid w:val="00A91ECC"/>
    <w:rsid w:val="00A964CC"/>
    <w:rsid w:val="00A96729"/>
    <w:rsid w:val="00AA7258"/>
    <w:rsid w:val="00AA740C"/>
    <w:rsid w:val="00AB22F5"/>
    <w:rsid w:val="00AB288F"/>
    <w:rsid w:val="00AB37AD"/>
    <w:rsid w:val="00AB5D6B"/>
    <w:rsid w:val="00AB737D"/>
    <w:rsid w:val="00AC0C29"/>
    <w:rsid w:val="00AC17E0"/>
    <w:rsid w:val="00AD04A7"/>
    <w:rsid w:val="00AD320C"/>
    <w:rsid w:val="00AD3E37"/>
    <w:rsid w:val="00AD68CB"/>
    <w:rsid w:val="00AE528C"/>
    <w:rsid w:val="00B03ED1"/>
    <w:rsid w:val="00B06822"/>
    <w:rsid w:val="00B06D84"/>
    <w:rsid w:val="00B13565"/>
    <w:rsid w:val="00B2658F"/>
    <w:rsid w:val="00B35820"/>
    <w:rsid w:val="00B37D61"/>
    <w:rsid w:val="00B420A2"/>
    <w:rsid w:val="00B42CEF"/>
    <w:rsid w:val="00B4304F"/>
    <w:rsid w:val="00B431B5"/>
    <w:rsid w:val="00B502BB"/>
    <w:rsid w:val="00B506B2"/>
    <w:rsid w:val="00B838D8"/>
    <w:rsid w:val="00B97A4B"/>
    <w:rsid w:val="00BA26CD"/>
    <w:rsid w:val="00BB19B8"/>
    <w:rsid w:val="00BC27C4"/>
    <w:rsid w:val="00BC7C93"/>
    <w:rsid w:val="00BF2666"/>
    <w:rsid w:val="00BF3113"/>
    <w:rsid w:val="00BF3934"/>
    <w:rsid w:val="00BF3EA3"/>
    <w:rsid w:val="00BF3EE2"/>
    <w:rsid w:val="00BF56F6"/>
    <w:rsid w:val="00BF6476"/>
    <w:rsid w:val="00C0221C"/>
    <w:rsid w:val="00C04AF2"/>
    <w:rsid w:val="00C13014"/>
    <w:rsid w:val="00C171EB"/>
    <w:rsid w:val="00C206EB"/>
    <w:rsid w:val="00C220C0"/>
    <w:rsid w:val="00C2629A"/>
    <w:rsid w:val="00C37C03"/>
    <w:rsid w:val="00C415D3"/>
    <w:rsid w:val="00C43176"/>
    <w:rsid w:val="00C61E0F"/>
    <w:rsid w:val="00C64ACB"/>
    <w:rsid w:val="00C70073"/>
    <w:rsid w:val="00C82C22"/>
    <w:rsid w:val="00C86551"/>
    <w:rsid w:val="00C95091"/>
    <w:rsid w:val="00CA3D54"/>
    <w:rsid w:val="00CB1F92"/>
    <w:rsid w:val="00CB37A7"/>
    <w:rsid w:val="00CB4AFF"/>
    <w:rsid w:val="00CB4DD4"/>
    <w:rsid w:val="00CC0C8B"/>
    <w:rsid w:val="00CD067E"/>
    <w:rsid w:val="00CD48E3"/>
    <w:rsid w:val="00CD5746"/>
    <w:rsid w:val="00CE6ED6"/>
    <w:rsid w:val="00CE7D2F"/>
    <w:rsid w:val="00CF5DDD"/>
    <w:rsid w:val="00CF64D1"/>
    <w:rsid w:val="00D03338"/>
    <w:rsid w:val="00D52130"/>
    <w:rsid w:val="00D5699C"/>
    <w:rsid w:val="00D57B7E"/>
    <w:rsid w:val="00D7181A"/>
    <w:rsid w:val="00D7288F"/>
    <w:rsid w:val="00D752D8"/>
    <w:rsid w:val="00D75D0A"/>
    <w:rsid w:val="00D8031F"/>
    <w:rsid w:val="00D80B3E"/>
    <w:rsid w:val="00D84507"/>
    <w:rsid w:val="00D84AF8"/>
    <w:rsid w:val="00D85B31"/>
    <w:rsid w:val="00D90284"/>
    <w:rsid w:val="00D954E9"/>
    <w:rsid w:val="00DC2B20"/>
    <w:rsid w:val="00DC6CCF"/>
    <w:rsid w:val="00DC6ED3"/>
    <w:rsid w:val="00DC7BD1"/>
    <w:rsid w:val="00DE2FFD"/>
    <w:rsid w:val="00DE5C24"/>
    <w:rsid w:val="00DF219A"/>
    <w:rsid w:val="00DF2FAD"/>
    <w:rsid w:val="00DF4648"/>
    <w:rsid w:val="00DF64D7"/>
    <w:rsid w:val="00E05146"/>
    <w:rsid w:val="00E1409A"/>
    <w:rsid w:val="00E21F6D"/>
    <w:rsid w:val="00E23970"/>
    <w:rsid w:val="00E272B0"/>
    <w:rsid w:val="00E323C3"/>
    <w:rsid w:val="00E33C05"/>
    <w:rsid w:val="00E34296"/>
    <w:rsid w:val="00E43930"/>
    <w:rsid w:val="00E50A19"/>
    <w:rsid w:val="00E60E69"/>
    <w:rsid w:val="00E60FA6"/>
    <w:rsid w:val="00E61150"/>
    <w:rsid w:val="00E6537C"/>
    <w:rsid w:val="00E67189"/>
    <w:rsid w:val="00E731B3"/>
    <w:rsid w:val="00E77752"/>
    <w:rsid w:val="00E85FC0"/>
    <w:rsid w:val="00E904A0"/>
    <w:rsid w:val="00E908E1"/>
    <w:rsid w:val="00E922AD"/>
    <w:rsid w:val="00E9760D"/>
    <w:rsid w:val="00EA2BBB"/>
    <w:rsid w:val="00EA2DD5"/>
    <w:rsid w:val="00EA4D87"/>
    <w:rsid w:val="00EB1985"/>
    <w:rsid w:val="00EB703D"/>
    <w:rsid w:val="00EC3F84"/>
    <w:rsid w:val="00EC7040"/>
    <w:rsid w:val="00EE1F3B"/>
    <w:rsid w:val="00EF166B"/>
    <w:rsid w:val="00EF4FB5"/>
    <w:rsid w:val="00EF50CF"/>
    <w:rsid w:val="00EF6919"/>
    <w:rsid w:val="00F00C41"/>
    <w:rsid w:val="00F10EC4"/>
    <w:rsid w:val="00F10F5F"/>
    <w:rsid w:val="00F16FC5"/>
    <w:rsid w:val="00F209C8"/>
    <w:rsid w:val="00F26184"/>
    <w:rsid w:val="00F26DD9"/>
    <w:rsid w:val="00F32862"/>
    <w:rsid w:val="00F33F43"/>
    <w:rsid w:val="00F3530B"/>
    <w:rsid w:val="00F43ABE"/>
    <w:rsid w:val="00F46690"/>
    <w:rsid w:val="00F57922"/>
    <w:rsid w:val="00F62B28"/>
    <w:rsid w:val="00F67749"/>
    <w:rsid w:val="00F744BC"/>
    <w:rsid w:val="00F8232E"/>
    <w:rsid w:val="00F87DFF"/>
    <w:rsid w:val="00F91890"/>
    <w:rsid w:val="00F931DD"/>
    <w:rsid w:val="00FA02F3"/>
    <w:rsid w:val="00FA1EAA"/>
    <w:rsid w:val="00FA217F"/>
    <w:rsid w:val="00FB168A"/>
    <w:rsid w:val="00FB1AD2"/>
    <w:rsid w:val="00FC26CB"/>
    <w:rsid w:val="00FC36C4"/>
    <w:rsid w:val="00FC39DE"/>
    <w:rsid w:val="00FC569E"/>
    <w:rsid w:val="00FD29B4"/>
    <w:rsid w:val="00FD6A1E"/>
    <w:rsid w:val="00FE524E"/>
    <w:rsid w:val="00FE5AAD"/>
    <w:rsid w:val="3A8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3C8AD"/>
  <w15:chartTrackingRefBased/>
  <w15:docId w15:val="{9D068CB1-360B-41B8-A62C-7CFC21C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11"/>
    <w:rPr>
      <w:rFonts w:ascii="Times New Roman" w:eastAsia="Times New Roman" w:hAnsi="Times New Roman"/>
      <w:sz w:val="28"/>
    </w:rPr>
  </w:style>
  <w:style w:type="paragraph" w:styleId="Ttulo2">
    <w:name w:val="heading 2"/>
    <w:basedOn w:val="Normal"/>
    <w:next w:val="Normal"/>
    <w:link w:val="Ttulo2Char"/>
    <w:qFormat/>
    <w:rsid w:val="00897211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89721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6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4669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4D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3A60EF4EC4E48A77FD608DF17A88D" ma:contentTypeVersion="10" ma:contentTypeDescription="Create a new document." ma:contentTypeScope="" ma:versionID="79c1fe51fdcaeaeb0ddd3572a859423c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3f6d0875a19f48b9fe21b1a4cecd2c44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A3613-EF5D-4D47-82C4-421650984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5A36D-7462-49C4-BAA0-4A390C22F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2E8BF-90C7-4179-884D-B892D950E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3035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Leandro Henrique Ferreira Leme</cp:lastModifiedBy>
  <cp:revision>26</cp:revision>
  <cp:lastPrinted>2020-02-14T19:23:00Z</cp:lastPrinted>
  <dcterms:created xsi:type="dcterms:W3CDTF">2020-02-12T21:17:00Z</dcterms:created>
  <dcterms:modified xsi:type="dcterms:W3CDTF">2020-02-14T19:26:00Z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  <property fmtid="{D5CDD505-2E9C-101B-9397-08002B2CF9AE}" pid="3" name="AuthorIds_UIVersion_512">
    <vt:lpwstr>6</vt:lpwstr>
  </property>
  <property fmtid="{D5CDD505-2E9C-101B-9397-08002B2CF9AE}" pid="4" name="SharedWithUsers">
    <vt:lpwstr>932;#Rodrigo de Andrade Figaro Caldeira;#2909;#Gilson Sidney Amancio de Souza</vt:lpwstr>
  </property>
</Properties>
</file>